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FF" w:rsidRPr="00732CDD" w:rsidRDefault="00732CDD">
      <w:pPr>
        <w:rPr>
          <w:rFonts w:ascii="Verdana" w:hAnsi="Verdana"/>
          <w:b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Reading</w:t>
      </w:r>
      <w:bookmarkStart w:id="0" w:name="_GoBack"/>
      <w:bookmarkEnd w:id="0"/>
    </w:p>
    <w:p w:rsidR="004B42FF" w:rsidRDefault="004B42FF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772061" w:rsidRDefault="00F707CB" w:rsidP="004B42FF">
      <w:pPr>
        <w:ind w:left="360" w:hanging="360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McMillan, J. H., &amp; Schumacher, S. (2010). </w:t>
      </w:r>
      <w:r>
        <w:rPr>
          <w:rFonts w:ascii="Verdana" w:hAnsi="Verdana"/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</w:rPr>
        <w:t>Research in education: Evidence-based inquiry 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7</w:t>
      </w:r>
      <w:r>
        <w:rPr>
          <w:rFonts w:ascii="Century Gothic" w:hAnsi="Century Gothic"/>
          <w:color w:val="000000"/>
          <w:sz w:val="14"/>
          <w:szCs w:val="14"/>
          <w:bdr w:val="none" w:sz="0" w:space="0" w:color="auto" w:frame="1"/>
          <w:shd w:val="clear" w:color="auto" w:fill="FFFFFF"/>
          <w:vertAlign w:val="superscript"/>
        </w:rPr>
        <w:t>th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proofErr w:type="gram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ed</w:t>
      </w:r>
      <w:proofErr w:type="gram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.).</w:t>
      </w:r>
      <w:r w:rsidR="004B42FF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(pp. 101-117)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Boston, MA: Pearson.</w:t>
      </w:r>
    </w:p>
    <w:p w:rsidR="00732CDD" w:rsidRDefault="00732CDD" w:rsidP="004B42FF">
      <w:pPr>
        <w:ind w:left="360" w:hanging="360"/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732CDD" w:rsidRPr="00732CDD" w:rsidRDefault="00732CDD" w:rsidP="004B42FF">
      <w:pPr>
        <w:ind w:left="360" w:hanging="360"/>
        <w:rPr>
          <w:rFonts w:ascii="Verdana" w:hAnsi="Verdana"/>
          <w:b/>
          <w:color w:val="000000"/>
          <w:sz w:val="21"/>
          <w:szCs w:val="21"/>
          <w:shd w:val="clear" w:color="auto" w:fill="FFFFFF"/>
        </w:rPr>
      </w:pPr>
      <w:r w:rsidRPr="00732CDD">
        <w:rPr>
          <w:rFonts w:ascii="Verdana" w:hAnsi="Verdana"/>
          <w:b/>
          <w:color w:val="000000"/>
          <w:sz w:val="21"/>
          <w:szCs w:val="21"/>
          <w:shd w:val="clear" w:color="auto" w:fill="FFFFFF"/>
        </w:rPr>
        <w:t>Reading Questions</w:t>
      </w:r>
    </w:p>
    <w:p w:rsidR="00732CDD" w:rsidRPr="00732CDD" w:rsidRDefault="00732CDD" w:rsidP="00732C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Helvetica" w:eastAsia="Times New Roman" w:hAnsi="Helvetica" w:cs="Helvetica"/>
          <w:color w:val="2D3B45"/>
          <w:sz w:val="24"/>
          <w:szCs w:val="24"/>
        </w:rPr>
        <w:t>Describe the relationship between statistical conclusion validity and internal validity.</w:t>
      </w:r>
    </w:p>
    <w:p w:rsidR="00732CDD" w:rsidRPr="00732CDD" w:rsidRDefault="00732CDD" w:rsidP="00732CD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Helvetica" w:eastAsia="Times New Roman" w:hAnsi="Helvetica" w:cs="Helvetica"/>
          <w:color w:val="2D3B45"/>
          <w:sz w:val="24"/>
          <w:szCs w:val="24"/>
        </w:rPr>
        <w:t>Can a study have poor statistical conclusion validity, but strong internal validity? Why or why not?</w:t>
      </w:r>
    </w:p>
    <w:p w:rsidR="00732CDD" w:rsidRPr="00732CDD" w:rsidRDefault="00732CDD" w:rsidP="00732C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Arial" w:eastAsia="Times New Roman" w:hAnsi="Arial" w:cs="Arial"/>
          <w:color w:val="2D3B45"/>
          <w:sz w:val="24"/>
          <w:szCs w:val="24"/>
        </w:rPr>
        <w:t>Describe the relationship between internal validity and external validity.</w:t>
      </w:r>
    </w:p>
    <w:p w:rsidR="00732CDD" w:rsidRPr="00732CDD" w:rsidRDefault="00732CDD" w:rsidP="00732CD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Arial" w:eastAsia="Times New Roman" w:hAnsi="Arial" w:cs="Arial"/>
          <w:color w:val="2D3B45"/>
          <w:sz w:val="24"/>
          <w:szCs w:val="24"/>
        </w:rPr>
        <w:t>In your opinion, when determining whether to use a primary research study as evidence to inform the development a new program, is it more important that the study have strong internal validity or strong external validity? Why?</w:t>
      </w:r>
    </w:p>
    <w:p w:rsidR="00732CDD" w:rsidRPr="00732CDD" w:rsidRDefault="00732CDD" w:rsidP="00732C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proofErr w:type="gramStart"/>
      <w:r w:rsidRPr="00732CDD">
        <w:rPr>
          <w:rFonts w:ascii="Arial" w:eastAsia="Times New Roman" w:hAnsi="Arial" w:cs="Arial"/>
          <w:color w:val="2D3B45"/>
          <w:sz w:val="24"/>
          <w:szCs w:val="24"/>
        </w:rPr>
        <w:t>For each of the following threats to internal validity, please define the threat in your own words and provide a specific example of what this threat might look like in a student affairs context (for example, if I were to provide an example of maturation threat, I might say, “A first year experience course is implemented during the first semester of college and claims to have increased students’ sense of independence.</w:t>
      </w:r>
      <w:proofErr w:type="gramEnd"/>
      <w:r w:rsidRPr="00732CDD">
        <w:rPr>
          <w:rFonts w:ascii="Arial" w:eastAsia="Times New Roman" w:hAnsi="Arial" w:cs="Arial"/>
          <w:color w:val="2D3B45"/>
          <w:sz w:val="24"/>
          <w:szCs w:val="24"/>
        </w:rPr>
        <w:t xml:space="preserve"> However, it may also be that students naturally gain more independence during their first semester of college even without an intervention.”):</w:t>
      </w:r>
    </w:p>
    <w:p w:rsidR="00732CDD" w:rsidRPr="00732CDD" w:rsidRDefault="00732CDD" w:rsidP="00732CD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Helvetica" w:eastAsia="Times New Roman" w:hAnsi="Helvetica" w:cs="Helvetica"/>
          <w:color w:val="2D3B45"/>
          <w:sz w:val="24"/>
          <w:szCs w:val="24"/>
        </w:rPr>
        <w:t>History</w:t>
      </w:r>
    </w:p>
    <w:p w:rsidR="00732CDD" w:rsidRPr="00732CDD" w:rsidRDefault="00732CDD" w:rsidP="00732CD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Helvetica" w:eastAsia="Times New Roman" w:hAnsi="Helvetica" w:cs="Helvetica"/>
          <w:color w:val="2D3B45"/>
          <w:sz w:val="24"/>
          <w:szCs w:val="24"/>
        </w:rPr>
        <w:t>Maturation</w:t>
      </w:r>
    </w:p>
    <w:p w:rsidR="00732CDD" w:rsidRPr="00732CDD" w:rsidRDefault="00732CDD" w:rsidP="00732CD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Helvetica" w:eastAsia="Times New Roman" w:hAnsi="Helvetica" w:cs="Helvetica"/>
          <w:color w:val="2D3B45"/>
          <w:sz w:val="24"/>
          <w:szCs w:val="24"/>
        </w:rPr>
        <w:t>Selection (Bias)</w:t>
      </w:r>
    </w:p>
    <w:p w:rsidR="00732CDD" w:rsidRPr="00732CDD" w:rsidRDefault="00732CDD" w:rsidP="00732CD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Helvetica" w:eastAsia="Times New Roman" w:hAnsi="Helvetica" w:cs="Helvetica"/>
          <w:color w:val="2D3B45"/>
          <w:sz w:val="24"/>
          <w:szCs w:val="24"/>
        </w:rPr>
        <w:t>Testing (Pretesting)</w:t>
      </w:r>
    </w:p>
    <w:p w:rsidR="00732CDD" w:rsidRPr="00732CDD" w:rsidRDefault="00732CDD" w:rsidP="00732CD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Helvetica" w:eastAsia="Times New Roman" w:hAnsi="Helvetica" w:cs="Helvetica"/>
          <w:color w:val="2D3B45"/>
          <w:sz w:val="24"/>
          <w:szCs w:val="24"/>
        </w:rPr>
        <w:t>Instrumentation</w:t>
      </w:r>
    </w:p>
    <w:p w:rsidR="00732CDD" w:rsidRPr="00732CDD" w:rsidRDefault="00732CDD" w:rsidP="00732CD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732CDD">
        <w:rPr>
          <w:rFonts w:ascii="Helvetica" w:eastAsia="Times New Roman" w:hAnsi="Helvetica" w:cs="Helvetica"/>
          <w:color w:val="2D3B45"/>
          <w:sz w:val="24"/>
          <w:szCs w:val="24"/>
        </w:rPr>
        <w:t>Attrition</w:t>
      </w:r>
    </w:p>
    <w:p w:rsidR="00732CDD" w:rsidRDefault="00732CDD" w:rsidP="004B42FF">
      <w:pPr>
        <w:ind w:left="360" w:hanging="360"/>
      </w:pPr>
    </w:p>
    <w:sectPr w:rsidR="00732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E2E9C"/>
    <w:multiLevelType w:val="multilevel"/>
    <w:tmpl w:val="B62A0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9D"/>
    <w:rsid w:val="000E3A9D"/>
    <w:rsid w:val="004B42FF"/>
    <w:rsid w:val="004C6120"/>
    <w:rsid w:val="00732CDD"/>
    <w:rsid w:val="009B0EB6"/>
    <w:rsid w:val="00BC5CC6"/>
    <w:rsid w:val="00F151FE"/>
    <w:rsid w:val="00F7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04D7E"/>
  <w15:chartTrackingRefBased/>
  <w15:docId w15:val="{D3E2DE7F-7777-4C58-9B30-3576E339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8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Stewart, Jonathan Paul - stewarjp</dc:creator>
  <cp:keywords/>
  <dc:description/>
  <cp:lastModifiedBy>Stewart, Jonathan Paul - stewarjp</cp:lastModifiedBy>
  <cp:revision>3</cp:revision>
  <dcterms:created xsi:type="dcterms:W3CDTF">2023-01-09T11:21:00Z</dcterms:created>
  <dcterms:modified xsi:type="dcterms:W3CDTF">2023-01-09T11:51:00Z</dcterms:modified>
</cp:coreProperties>
</file>