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42D" w:rsidRPr="00F27225" w:rsidRDefault="00B6368F" w:rsidP="00B6368F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D3B45"/>
          <w:sz w:val="24"/>
          <w:szCs w:val="24"/>
        </w:rPr>
      </w:pPr>
      <w:r w:rsidRPr="00F27225">
        <w:rPr>
          <w:rFonts w:ascii="Helvetica" w:eastAsia="Times New Roman" w:hAnsi="Helvetica" w:cs="Helvetica"/>
          <w:b/>
          <w:color w:val="2D3B45"/>
          <w:sz w:val="24"/>
          <w:szCs w:val="24"/>
        </w:rPr>
        <w:t>Readings</w:t>
      </w:r>
    </w:p>
    <w:p w:rsidR="0072542D" w:rsidRDefault="00F27225" w:rsidP="00F27225">
      <w:pPr>
        <w:shd w:val="clear" w:color="auto" w:fill="FFFFFF"/>
        <w:spacing w:before="100" w:beforeAutospacing="1" w:after="100" w:afterAutospacing="1" w:line="240" w:lineRule="auto"/>
        <w:ind w:left="450" w:hanging="450"/>
        <w:rPr>
          <w:rFonts w:ascii="Helvetica" w:eastAsia="Times New Roman" w:hAnsi="Helvetica" w:cs="Helvetica"/>
          <w:color w:val="2D3B45"/>
          <w:sz w:val="24"/>
          <w:szCs w:val="24"/>
        </w:rPr>
      </w:pPr>
      <w:r>
        <w:rPr>
          <w:rFonts w:ascii="Helvetica" w:eastAsia="Times New Roman" w:hAnsi="Helvetica" w:cs="Helvetica"/>
          <w:color w:val="2D3B45"/>
          <w:sz w:val="24"/>
          <w:szCs w:val="24"/>
        </w:rPr>
        <w:t>Carpenter, S.</w:t>
      </w:r>
      <w:r w:rsidR="0072542D" w:rsidRPr="0072542D">
        <w:rPr>
          <w:rFonts w:ascii="Helvetica" w:eastAsia="Times New Roman" w:hAnsi="Helvetica" w:cs="Helvetica"/>
          <w:color w:val="2D3B45"/>
          <w:sz w:val="24"/>
          <w:szCs w:val="24"/>
        </w:rPr>
        <w:t xml:space="preserve"> (2001). Student affairs scholarship (Re?) </w:t>
      </w:r>
      <w:proofErr w:type="gramStart"/>
      <w:r w:rsidR="0072542D" w:rsidRPr="0072542D">
        <w:rPr>
          <w:rFonts w:ascii="Helvetica" w:eastAsia="Times New Roman" w:hAnsi="Helvetica" w:cs="Helvetica"/>
          <w:color w:val="2D3B45"/>
          <w:sz w:val="24"/>
          <w:szCs w:val="24"/>
        </w:rPr>
        <w:t>considered: Toward</w:t>
      </w:r>
      <w:proofErr w:type="gramEnd"/>
      <w:r w:rsidR="0072542D" w:rsidRPr="0072542D">
        <w:rPr>
          <w:rFonts w:ascii="Helvetica" w:eastAsia="Times New Roman" w:hAnsi="Helvetica" w:cs="Helvetica"/>
          <w:color w:val="2D3B45"/>
          <w:sz w:val="24"/>
          <w:szCs w:val="24"/>
        </w:rPr>
        <w:t xml:space="preserve"> a scholarship of practice. Journal of College Student Development. 42.</w:t>
      </w:r>
    </w:p>
    <w:p w:rsidR="00E00227" w:rsidRDefault="0072542D" w:rsidP="00F27225">
      <w:pPr>
        <w:shd w:val="clear" w:color="auto" w:fill="FFFFFF"/>
        <w:spacing w:before="100" w:beforeAutospacing="1" w:after="100" w:afterAutospacing="1" w:line="240" w:lineRule="auto"/>
        <w:ind w:left="450" w:hanging="450"/>
        <w:rPr>
          <w:rFonts w:ascii="Helvetica" w:eastAsia="Times New Roman" w:hAnsi="Helvetica" w:cs="Helvetica"/>
          <w:color w:val="2D3B45"/>
          <w:sz w:val="24"/>
          <w:szCs w:val="24"/>
        </w:rPr>
      </w:pPr>
      <w:r>
        <w:rPr>
          <w:rFonts w:ascii="Helvetica" w:eastAsia="Times New Roman" w:hAnsi="Helvetica" w:cs="Helvetica"/>
          <w:color w:val="2D3B45"/>
          <w:sz w:val="24"/>
          <w:szCs w:val="24"/>
        </w:rPr>
        <w:t>Cook,</w:t>
      </w:r>
      <w:r w:rsidR="00E00227">
        <w:rPr>
          <w:rFonts w:ascii="Helvetica" w:eastAsia="Times New Roman" w:hAnsi="Helvetica" w:cs="Helvetica"/>
          <w:color w:val="2D3B45"/>
          <w:sz w:val="24"/>
          <w:szCs w:val="24"/>
        </w:rPr>
        <w:t xml:space="preserve"> </w:t>
      </w:r>
      <w:r>
        <w:rPr>
          <w:rFonts w:ascii="Helvetica" w:eastAsia="Times New Roman" w:hAnsi="Helvetica" w:cs="Helvetica"/>
          <w:color w:val="2D3B45"/>
          <w:sz w:val="24"/>
          <w:szCs w:val="24"/>
        </w:rPr>
        <w:t>B.G</w:t>
      </w:r>
      <w:r w:rsidR="00F27225">
        <w:rPr>
          <w:rFonts w:ascii="Helvetica" w:eastAsia="Times New Roman" w:hAnsi="Helvetica" w:cs="Helvetica"/>
          <w:color w:val="2D3B45"/>
          <w:sz w:val="24"/>
          <w:szCs w:val="24"/>
        </w:rPr>
        <w:t>.,</w:t>
      </w:r>
      <w:r>
        <w:rPr>
          <w:rFonts w:ascii="Helvetica" w:eastAsia="Times New Roman" w:hAnsi="Helvetica" w:cs="Helvetica"/>
          <w:color w:val="2D3B45"/>
          <w:sz w:val="24"/>
          <w:szCs w:val="24"/>
        </w:rPr>
        <w:t xml:space="preserve"> &amp; Smith G.J</w:t>
      </w:r>
      <w:r w:rsidR="00F27225">
        <w:rPr>
          <w:rFonts w:ascii="Helvetica" w:eastAsia="Times New Roman" w:hAnsi="Helvetica" w:cs="Helvetica"/>
          <w:color w:val="2D3B45"/>
          <w:sz w:val="24"/>
          <w:szCs w:val="24"/>
        </w:rPr>
        <w:t>.</w:t>
      </w:r>
      <w:r>
        <w:rPr>
          <w:rFonts w:ascii="Helvetica" w:eastAsia="Times New Roman" w:hAnsi="Helvetica" w:cs="Helvetica"/>
          <w:color w:val="2D3B45"/>
          <w:sz w:val="24"/>
          <w:szCs w:val="24"/>
        </w:rPr>
        <w:t xml:space="preserve"> (2012). Leadership and Instruction: Evidence Based Practice in Special Education. In </w:t>
      </w:r>
      <w:r w:rsidRPr="0072542D">
        <w:rPr>
          <w:rFonts w:ascii="Helvetica" w:eastAsia="Times New Roman" w:hAnsi="Helvetica" w:cs="Helvetica"/>
          <w:color w:val="2D3B45"/>
          <w:sz w:val="24"/>
          <w:szCs w:val="24"/>
        </w:rPr>
        <w:t xml:space="preserve">Crockett, J. B., Billingsley, B., &amp; </w:t>
      </w:r>
      <w:proofErr w:type="spellStart"/>
      <w:r w:rsidRPr="0072542D">
        <w:rPr>
          <w:rFonts w:ascii="Helvetica" w:eastAsia="Times New Roman" w:hAnsi="Helvetica" w:cs="Helvetica"/>
          <w:color w:val="2D3B45"/>
          <w:sz w:val="24"/>
          <w:szCs w:val="24"/>
        </w:rPr>
        <w:t>B</w:t>
      </w:r>
      <w:r w:rsidR="00F27225">
        <w:rPr>
          <w:rFonts w:ascii="Helvetica" w:eastAsia="Times New Roman" w:hAnsi="Helvetica" w:cs="Helvetica"/>
          <w:color w:val="2D3B45"/>
          <w:sz w:val="24"/>
          <w:szCs w:val="24"/>
        </w:rPr>
        <w:t>oscardin</w:t>
      </w:r>
      <w:proofErr w:type="spellEnd"/>
      <w:r w:rsidR="00F27225">
        <w:rPr>
          <w:rFonts w:ascii="Helvetica" w:eastAsia="Times New Roman" w:hAnsi="Helvetica" w:cs="Helvetica"/>
          <w:color w:val="2D3B45"/>
          <w:sz w:val="24"/>
          <w:szCs w:val="24"/>
        </w:rPr>
        <w:t xml:space="preserve">, M. L. (Eds.) </w:t>
      </w:r>
      <w:r w:rsidRPr="00E00227">
        <w:rPr>
          <w:rFonts w:ascii="Helvetica" w:eastAsia="Times New Roman" w:hAnsi="Helvetica" w:cs="Helvetica"/>
          <w:i/>
          <w:color w:val="2D3B45"/>
          <w:sz w:val="24"/>
          <w:szCs w:val="24"/>
        </w:rPr>
        <w:t>Handbook of leadership and administration for special education</w:t>
      </w:r>
      <w:r w:rsidR="00E00227">
        <w:rPr>
          <w:rFonts w:ascii="Helvetica" w:eastAsia="Times New Roman" w:hAnsi="Helvetica" w:cs="Helvetica"/>
          <w:color w:val="2D3B45"/>
          <w:sz w:val="24"/>
          <w:szCs w:val="24"/>
        </w:rPr>
        <w:t xml:space="preserve"> (pp. 281-296)</w:t>
      </w:r>
    </w:p>
    <w:p w:rsidR="00F27225" w:rsidRDefault="00F27225" w:rsidP="00F27225">
      <w:pPr>
        <w:shd w:val="clear" w:color="auto" w:fill="FFFFFF"/>
        <w:spacing w:before="100" w:beforeAutospacing="1" w:after="100" w:afterAutospacing="1" w:line="240" w:lineRule="auto"/>
        <w:ind w:left="450" w:hanging="450"/>
        <w:rPr>
          <w:rFonts w:ascii="Helvetica" w:eastAsia="Times New Roman" w:hAnsi="Helvetica" w:cs="Helvetica"/>
          <w:color w:val="2D3B45"/>
          <w:sz w:val="24"/>
          <w:szCs w:val="24"/>
        </w:rPr>
      </w:pPr>
      <w:proofErr w:type="spellStart"/>
      <w:r>
        <w:rPr>
          <w:rFonts w:ascii="Helvetica" w:eastAsia="Times New Roman" w:hAnsi="Helvetica" w:cs="Helvetica"/>
          <w:color w:val="2D3B45"/>
          <w:sz w:val="24"/>
          <w:szCs w:val="24"/>
        </w:rPr>
        <w:t>Stanovich</w:t>
      </w:r>
      <w:proofErr w:type="spellEnd"/>
      <w:r>
        <w:rPr>
          <w:rFonts w:ascii="Helvetica" w:eastAsia="Times New Roman" w:hAnsi="Helvetica" w:cs="Helvetica"/>
          <w:color w:val="2D3B45"/>
          <w:sz w:val="24"/>
          <w:szCs w:val="24"/>
        </w:rPr>
        <w:t xml:space="preserve">, E.K. (1996). </w:t>
      </w:r>
      <w:r>
        <w:rPr>
          <w:rFonts w:ascii="Helvetica" w:eastAsia="Times New Roman" w:hAnsi="Helvetica" w:cs="Helvetica"/>
          <w:i/>
          <w:color w:val="2D3B45"/>
          <w:sz w:val="24"/>
          <w:szCs w:val="24"/>
        </w:rPr>
        <w:t xml:space="preserve">How to think straight about psychology. </w:t>
      </w:r>
      <w:r>
        <w:rPr>
          <w:rFonts w:ascii="Helvetica" w:eastAsia="Times New Roman" w:hAnsi="Helvetica" w:cs="Helvetica"/>
          <w:color w:val="2D3B45"/>
          <w:sz w:val="24"/>
          <w:szCs w:val="24"/>
        </w:rPr>
        <w:t>(pp. 49-68) HarperCollins</w:t>
      </w:r>
    </w:p>
    <w:p w:rsidR="00F27225" w:rsidRPr="00F27225" w:rsidRDefault="00F27225" w:rsidP="00B6368F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</w:p>
    <w:p w:rsidR="00B6368F" w:rsidRPr="00F27225" w:rsidRDefault="00B6368F" w:rsidP="00B6368F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b/>
          <w:color w:val="2D3B45"/>
          <w:sz w:val="24"/>
          <w:szCs w:val="24"/>
        </w:rPr>
      </w:pPr>
      <w:r w:rsidRPr="00F27225">
        <w:rPr>
          <w:rFonts w:ascii="Helvetica" w:eastAsia="Times New Roman" w:hAnsi="Helvetica" w:cs="Helvetica"/>
          <w:b/>
          <w:color w:val="2D3B45"/>
          <w:sz w:val="24"/>
          <w:szCs w:val="24"/>
        </w:rPr>
        <w:t>Reading Questions</w:t>
      </w:r>
    </w:p>
    <w:p w:rsidR="00B6368F" w:rsidRDefault="00B6368F" w:rsidP="00B636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What is Carpenter calling for with evidence-informed practice? Summarize the argument in </w:t>
      </w:r>
      <w:proofErr w:type="gram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3</w:t>
      </w:r>
      <w:proofErr w:type="gram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 sentences or less.</w:t>
      </w:r>
    </w:p>
    <w:p w:rsidR="00F27225" w:rsidRPr="00B6368F" w:rsidRDefault="00F27225" w:rsidP="00F2722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</w:p>
    <w:p w:rsidR="00B6368F" w:rsidRDefault="00B6368F" w:rsidP="00B636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Do you believe Carpenter’s call </w:t>
      </w:r>
      <w:proofErr w:type="gram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has been answered</w:t>
      </w:r>
      <w:proofErr w:type="gram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? Why or why not?</w:t>
      </w:r>
    </w:p>
    <w:p w:rsidR="00F27225" w:rsidRPr="00B6368F" w:rsidRDefault="00F27225" w:rsidP="00F27225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</w:p>
    <w:p w:rsidR="00B6368F" w:rsidRDefault="00B6368F" w:rsidP="00F2722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Cook and Smith talk about </w:t>
      </w:r>
      <w:proofErr w:type="spell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inattentional</w:t>
      </w:r>
      <w:proofErr w:type="spell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 blindness, illusory causation, and situated generalization in their chapter. If those concepts </w:t>
      </w:r>
      <w:proofErr w:type="gram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were introduced</w:t>
      </w:r>
      <w:proofErr w:type="gram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 to Carpenter, how do you think Carpenter would respond to each of these perceptions?</w:t>
      </w:r>
    </w:p>
    <w:p w:rsidR="00F27225" w:rsidRPr="00B6368F" w:rsidRDefault="00F27225" w:rsidP="00F27225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D3B45"/>
          <w:sz w:val="24"/>
          <w:szCs w:val="24"/>
        </w:rPr>
      </w:pPr>
      <w:bookmarkStart w:id="0" w:name="_GoBack"/>
      <w:bookmarkEnd w:id="0"/>
    </w:p>
    <w:p w:rsidR="00B6368F" w:rsidRPr="00B6368F" w:rsidRDefault="00B6368F" w:rsidP="00B6368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Helvetica" w:eastAsia="Times New Roman" w:hAnsi="Helvetica" w:cs="Helvetica"/>
          <w:color w:val="2D3B45"/>
          <w:sz w:val="24"/>
          <w:szCs w:val="24"/>
        </w:rPr>
      </w:pPr>
      <w:proofErr w:type="spell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Stanovich</w:t>
      </w:r>
      <w:proofErr w:type="spell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 describes some of the troubles with testimonials in his chapter. Would Carpenter have a similar or a different argument? Use examples from both </w:t>
      </w:r>
      <w:proofErr w:type="spellStart"/>
      <w:proofErr w:type="gramStart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>Stanovich’s</w:t>
      </w:r>
      <w:proofErr w:type="spellEnd"/>
      <w:proofErr w:type="gramEnd"/>
      <w:r w:rsidRPr="00B6368F">
        <w:rPr>
          <w:rFonts w:ascii="Helvetica" w:eastAsia="Times New Roman" w:hAnsi="Helvetica" w:cs="Helvetica"/>
          <w:color w:val="2D3B45"/>
          <w:sz w:val="24"/>
          <w:szCs w:val="24"/>
        </w:rPr>
        <w:t xml:space="preserve"> and Carpenter’s chapters to support your answer.</w:t>
      </w:r>
    </w:p>
    <w:p w:rsidR="00772061" w:rsidRDefault="00F27225"/>
    <w:sectPr w:rsidR="0077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221BD"/>
    <w:multiLevelType w:val="multilevel"/>
    <w:tmpl w:val="2C866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8F"/>
    <w:rsid w:val="004C6120"/>
    <w:rsid w:val="0072542D"/>
    <w:rsid w:val="009B0EB6"/>
    <w:rsid w:val="00B6368F"/>
    <w:rsid w:val="00BC5CC6"/>
    <w:rsid w:val="00E00227"/>
    <w:rsid w:val="00F151FE"/>
    <w:rsid w:val="00F2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612FF"/>
  <w15:chartTrackingRefBased/>
  <w15:docId w15:val="{390A8129-7187-4102-9474-DC3970CD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James Madison University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Stewart, Jonathan Paul - stewarjp</dc:creator>
  <cp:keywords/>
  <dc:description/>
  <cp:lastModifiedBy>Stewart, Jonathan Paul - stewarjp</cp:lastModifiedBy>
  <cp:revision>3</cp:revision>
  <dcterms:created xsi:type="dcterms:W3CDTF">2023-01-09T10:43:00Z</dcterms:created>
  <dcterms:modified xsi:type="dcterms:W3CDTF">2023-01-09T11:02:00Z</dcterms:modified>
</cp:coreProperties>
</file>