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ayout w:type="fixed"/>
        <w:tblCellMar>
          <w:top w:w="58" w:type="dxa"/>
          <w:left w:w="115" w:type="dxa"/>
          <w:bottom w:w="58" w:type="dxa"/>
          <w:right w:w="115" w:type="dxa"/>
        </w:tblCellMar>
        <w:tblLook w:val="04A0" w:firstRow="1" w:lastRow="0" w:firstColumn="1" w:lastColumn="0" w:noHBand="0" w:noVBand="1"/>
      </w:tblPr>
      <w:tblGrid>
        <w:gridCol w:w="2145"/>
        <w:gridCol w:w="2070"/>
        <w:gridCol w:w="345"/>
        <w:gridCol w:w="1110"/>
        <w:gridCol w:w="2555"/>
        <w:gridCol w:w="2520"/>
        <w:gridCol w:w="1907"/>
        <w:gridCol w:w="1743"/>
      </w:tblGrid>
      <w:tr w:rsidRPr="000965BE" w:rsidR="00014607" w:rsidTr="6D014AC3" w14:paraId="6C1451A1" w14:textId="77777777">
        <w:trPr>
          <w:trHeight w:val="21"/>
        </w:trPr>
        <w:tc>
          <w:tcPr>
            <w:tcW w:w="14395" w:type="dxa"/>
            <w:gridSpan w:val="8"/>
            <w:shd w:val="clear" w:color="auto" w:fill="450084"/>
            <w:tcMar/>
          </w:tcPr>
          <w:p w:rsidP="6D014AC3" w14:paraId="05C03114" w14:textId="240FE37E">
            <w:pPr>
              <w:pStyle w:val="Normal"/>
              <w:jc w:val="center"/>
              <w:rPr>
                <w:rFonts w:ascii="Calibri" w:hAnsi="Calibri" w:eastAsia="Calibri" w:cs="Calibri"/>
                <w:noProof w:val="0"/>
                <w:sz w:val="22"/>
                <w:szCs w:val="22"/>
                <w:lang w:val="en-US"/>
              </w:rPr>
            </w:pPr>
            <w:r w:rsidRPr="6D014AC3" w:rsidR="6D014AC3">
              <w:rPr>
                <w:rFonts w:ascii="Arial" w:hAnsi="Arial" w:eastAsia="Arial" w:cs="Arial"/>
                <w:b w:val="1"/>
                <w:bCs w:val="1"/>
                <w:noProof w:val="0"/>
                <w:sz w:val="22"/>
                <w:szCs w:val="22"/>
                <w:lang w:val="en-US"/>
              </w:rPr>
              <w:t>Professional Development Experiences in Evidence-Informed Practice</w:t>
            </w:r>
          </w:p>
        </w:tc>
      </w:tr>
      <w:tr w:rsidRPr="000965BE" w:rsidR="00B82CF0" w:rsidTr="6D014AC3" w14:paraId="3036700B" w14:textId="77777777">
        <w:trPr>
          <w:trHeight w:val="21"/>
        </w:trPr>
        <w:tc>
          <w:tcPr>
            <w:tcW w:w="2145" w:type="dxa"/>
            <w:shd w:val="clear" w:color="auto" w:fill="B599CE"/>
            <w:tcMar/>
            <w:vAlign w:val="center"/>
          </w:tcPr>
          <w:p w:rsidRPr="00E03A44" w:rsidR="00B82CF0" w:rsidP="735FE81C" w:rsidRDefault="00917FE2" w14:paraId="628C769C" w14:textId="14413BB9">
            <w:pPr>
              <w:jc w:val="center"/>
              <w:rPr>
                <w:rFonts w:ascii="Arial" w:hAnsi="Arial" w:eastAsia="Arial" w:cs="Arial"/>
                <w:b/>
                <w:bCs/>
                <w:sz w:val="20"/>
                <w:szCs w:val="20"/>
              </w:rPr>
            </w:pPr>
            <w:r>
              <w:rPr>
                <w:rFonts w:ascii="Arial" w:hAnsi="Arial" w:eastAsia="Arial" w:cs="Arial"/>
                <w:b/>
                <w:bCs/>
                <w:sz w:val="20"/>
                <w:szCs w:val="20"/>
              </w:rPr>
              <w:t>Professional Development</w:t>
            </w:r>
          </w:p>
        </w:tc>
        <w:tc>
          <w:tcPr>
            <w:tcW w:w="2070" w:type="dxa"/>
            <w:shd w:val="clear" w:color="auto" w:fill="B599CE"/>
            <w:tcMar/>
            <w:vAlign w:val="center"/>
          </w:tcPr>
          <w:p w:rsidR="00B82CF0" w:rsidP="735FE81C" w:rsidRDefault="735FE81C" w14:paraId="38A9E545" w14:textId="2B37967F">
            <w:pPr>
              <w:jc w:val="center"/>
              <w:rPr>
                <w:rFonts w:ascii="Arial" w:hAnsi="Arial" w:eastAsia="Arial" w:cs="Arial"/>
                <w:b/>
                <w:bCs/>
                <w:sz w:val="20"/>
                <w:szCs w:val="20"/>
              </w:rPr>
            </w:pPr>
            <w:r w:rsidRPr="735FE81C">
              <w:rPr>
                <w:rFonts w:ascii="Arial" w:hAnsi="Arial" w:eastAsia="Arial" w:cs="Arial"/>
                <w:b/>
                <w:bCs/>
                <w:sz w:val="20"/>
                <w:szCs w:val="20"/>
              </w:rPr>
              <w:t>Description</w:t>
            </w:r>
          </w:p>
        </w:tc>
        <w:tc>
          <w:tcPr>
            <w:tcW w:w="1455" w:type="dxa"/>
            <w:gridSpan w:val="2"/>
            <w:shd w:val="clear" w:color="auto" w:fill="B599CE"/>
            <w:tcMar/>
            <w:vAlign w:val="center"/>
          </w:tcPr>
          <w:p w:rsidRPr="00E03A44" w:rsidR="00B82CF0" w:rsidP="735FE81C" w:rsidRDefault="735FE81C" w14:paraId="7A25F364" w14:textId="77777777">
            <w:pPr>
              <w:jc w:val="center"/>
              <w:rPr>
                <w:rFonts w:ascii="Arial" w:hAnsi="Arial" w:eastAsia="Arial" w:cs="Arial"/>
                <w:b/>
                <w:bCs/>
                <w:sz w:val="20"/>
                <w:szCs w:val="20"/>
              </w:rPr>
            </w:pPr>
            <w:r w:rsidRPr="735FE81C">
              <w:rPr>
                <w:rFonts w:ascii="Arial" w:hAnsi="Arial" w:eastAsia="Arial" w:cs="Arial"/>
                <w:b/>
                <w:bCs/>
                <w:sz w:val="20"/>
                <w:szCs w:val="20"/>
              </w:rPr>
              <w:t>Competency Level</w:t>
            </w:r>
          </w:p>
        </w:tc>
        <w:tc>
          <w:tcPr>
            <w:tcW w:w="2555" w:type="dxa"/>
            <w:shd w:val="clear" w:color="auto" w:fill="B599CE"/>
            <w:tcMar/>
            <w:vAlign w:val="center"/>
          </w:tcPr>
          <w:p w:rsidRPr="00E03A44" w:rsidR="00B82CF0" w:rsidP="735FE81C" w:rsidRDefault="735FE81C" w14:paraId="1CF73380" w14:textId="56F40EDB">
            <w:pPr>
              <w:jc w:val="center"/>
              <w:rPr>
                <w:rFonts w:ascii="Arial" w:hAnsi="Arial" w:eastAsia="Arial" w:cs="Arial"/>
                <w:b/>
                <w:bCs/>
                <w:sz w:val="20"/>
                <w:szCs w:val="20"/>
              </w:rPr>
            </w:pPr>
            <w:r w:rsidRPr="735FE81C">
              <w:rPr>
                <w:rFonts w:ascii="Arial" w:hAnsi="Arial" w:eastAsia="Arial" w:cs="Arial"/>
                <w:b/>
                <w:bCs/>
                <w:sz w:val="20"/>
                <w:szCs w:val="20"/>
              </w:rPr>
              <w:t>Outcomes</w:t>
            </w:r>
          </w:p>
        </w:tc>
        <w:tc>
          <w:tcPr>
            <w:tcW w:w="2520" w:type="dxa"/>
            <w:shd w:val="clear" w:color="auto" w:fill="B599CE"/>
            <w:tcMar/>
            <w:vAlign w:val="center"/>
          </w:tcPr>
          <w:p w:rsidRPr="00E03A44" w:rsidR="00B82CF0" w:rsidP="735FE81C" w:rsidRDefault="735FE81C" w14:paraId="527F65D4" w14:textId="77777777">
            <w:pPr>
              <w:jc w:val="center"/>
              <w:rPr>
                <w:rFonts w:ascii="Arial" w:hAnsi="Arial" w:eastAsia="Arial" w:cs="Arial"/>
                <w:b/>
                <w:bCs/>
                <w:sz w:val="20"/>
                <w:szCs w:val="20"/>
              </w:rPr>
            </w:pPr>
            <w:r w:rsidRPr="735FE81C">
              <w:rPr>
                <w:rFonts w:ascii="Arial" w:hAnsi="Arial" w:eastAsia="Arial" w:cs="Arial"/>
                <w:b/>
                <w:bCs/>
                <w:sz w:val="20"/>
                <w:szCs w:val="20"/>
              </w:rPr>
              <w:t>Length</w:t>
            </w:r>
          </w:p>
        </w:tc>
        <w:tc>
          <w:tcPr>
            <w:tcW w:w="1907" w:type="dxa"/>
            <w:shd w:val="clear" w:color="auto" w:fill="B599CE"/>
            <w:tcMar/>
            <w:vAlign w:val="center"/>
          </w:tcPr>
          <w:p w:rsidRPr="00E03A44" w:rsidR="00B82CF0" w:rsidP="735FE81C" w:rsidRDefault="735FE81C" w14:paraId="7C7255EC" w14:textId="77777777">
            <w:pPr>
              <w:jc w:val="center"/>
              <w:rPr>
                <w:rFonts w:ascii="Arial" w:hAnsi="Arial" w:eastAsia="Arial" w:cs="Arial"/>
                <w:b/>
                <w:bCs/>
                <w:sz w:val="20"/>
                <w:szCs w:val="20"/>
              </w:rPr>
            </w:pPr>
            <w:r w:rsidRPr="735FE81C">
              <w:rPr>
                <w:rFonts w:ascii="Arial" w:hAnsi="Arial" w:eastAsia="Arial" w:cs="Arial"/>
                <w:b/>
                <w:bCs/>
                <w:sz w:val="20"/>
                <w:szCs w:val="20"/>
              </w:rPr>
              <w:t>Audience</w:t>
            </w:r>
          </w:p>
        </w:tc>
        <w:tc>
          <w:tcPr>
            <w:tcW w:w="1743" w:type="dxa"/>
            <w:shd w:val="clear" w:color="auto" w:fill="B599CE"/>
            <w:tcMar/>
            <w:vAlign w:val="center"/>
          </w:tcPr>
          <w:p w:rsidRPr="00E03A44" w:rsidR="00B82CF0" w:rsidP="735FE81C" w:rsidRDefault="735FE81C" w14:paraId="49572BC1" w14:textId="77777777">
            <w:pPr>
              <w:jc w:val="center"/>
              <w:rPr>
                <w:rFonts w:ascii="Arial" w:hAnsi="Arial" w:eastAsia="Arial" w:cs="Arial"/>
                <w:b/>
                <w:bCs/>
                <w:sz w:val="20"/>
                <w:szCs w:val="20"/>
              </w:rPr>
            </w:pPr>
            <w:r w:rsidRPr="735FE81C">
              <w:rPr>
                <w:rFonts w:ascii="Arial" w:hAnsi="Arial" w:eastAsia="Arial" w:cs="Arial"/>
                <w:b/>
                <w:bCs/>
                <w:sz w:val="20"/>
                <w:szCs w:val="20"/>
              </w:rPr>
              <w:t>List of Resources</w:t>
            </w:r>
          </w:p>
        </w:tc>
      </w:tr>
      <w:tr w:rsidRPr="000965BE" w:rsidR="00B82CF0" w:rsidTr="6D014AC3" w14:paraId="4E547FFD" w14:textId="77777777">
        <w:trPr>
          <w:trHeight w:val="1009"/>
        </w:trPr>
        <w:tc>
          <w:tcPr>
            <w:tcW w:w="2145" w:type="dxa"/>
            <w:vMerge w:val="restart"/>
            <w:shd w:val="clear" w:color="auto" w:fill="FFFFFF" w:themeFill="background1"/>
            <w:tcMar/>
          </w:tcPr>
          <w:p w:rsidRPr="000B40B1" w:rsidR="00B82CF0" w:rsidP="735FE81C" w:rsidRDefault="735FE81C" w14:paraId="12E96F0C" w14:textId="10720EBE">
            <w:pPr>
              <w:rPr>
                <w:rFonts w:ascii="Arial" w:hAnsi="Arial" w:eastAsia="Arial" w:cs="Arial"/>
                <w:sz w:val="18"/>
                <w:szCs w:val="18"/>
              </w:rPr>
            </w:pPr>
            <w:r w:rsidRPr="735FE81C">
              <w:rPr>
                <w:rFonts w:ascii="Arial" w:hAnsi="Arial" w:eastAsia="Arial" w:cs="Arial"/>
                <w:b/>
                <w:bCs/>
                <w:sz w:val="20"/>
                <w:szCs w:val="20"/>
              </w:rPr>
              <w:t>Outcomes Assessment 101</w:t>
            </w:r>
            <w:r w:rsidRPr="735FE81C">
              <w:rPr>
                <w:rFonts w:ascii="Arial" w:hAnsi="Arial" w:eastAsia="Arial" w:cs="Arial"/>
                <w:sz w:val="18"/>
                <w:szCs w:val="18"/>
              </w:rPr>
              <w:t xml:space="preserve"> </w:t>
            </w:r>
          </w:p>
        </w:tc>
        <w:tc>
          <w:tcPr>
            <w:tcW w:w="2070" w:type="dxa"/>
            <w:vMerge w:val="restart"/>
            <w:shd w:val="clear" w:color="auto" w:fill="FFFFFF" w:themeFill="background1"/>
            <w:tcMar/>
          </w:tcPr>
          <w:p w:rsidRPr="0024671B" w:rsidR="00B82CF0" w:rsidP="735FE81C" w:rsidRDefault="735FE81C" w14:paraId="2DB6525B" w14:textId="7B1F620A">
            <w:pPr>
              <w:rPr>
                <w:rFonts w:ascii="Arial" w:hAnsi="Arial" w:eastAsia="Arial" w:cs="Arial"/>
                <w:sz w:val="18"/>
                <w:szCs w:val="18"/>
              </w:rPr>
            </w:pPr>
            <w:r w:rsidRPr="735FE81C">
              <w:rPr>
                <w:rFonts w:ascii="Arial" w:hAnsi="Arial" w:eastAsia="Arial" w:cs="Arial"/>
                <w:sz w:val="18"/>
                <w:szCs w:val="18"/>
              </w:rPr>
              <w:t>Assessment focused workshops that center evidence informed programming. Workshops emphasize the process of creating and evaluating evidence informed programming in the context of outcomes assessment.</w:t>
            </w:r>
          </w:p>
        </w:tc>
        <w:tc>
          <w:tcPr>
            <w:tcW w:w="1455" w:type="dxa"/>
            <w:gridSpan w:val="2"/>
            <w:vMerge w:val="restart"/>
            <w:shd w:val="clear" w:color="auto" w:fill="FFFFFF" w:themeFill="background1"/>
            <w:tcMar/>
          </w:tcPr>
          <w:p w:rsidRPr="009528C5" w:rsidR="00B82CF0" w:rsidP="735FE81C" w:rsidRDefault="735FE81C" w14:paraId="196637D2" w14:textId="0B05F1C0">
            <w:pPr>
              <w:jc w:val="center"/>
              <w:rPr>
                <w:rFonts w:ascii="Arial" w:hAnsi="Arial" w:eastAsia="Arial" w:cs="Arial"/>
                <w:sz w:val="18"/>
                <w:szCs w:val="18"/>
              </w:rPr>
            </w:pPr>
            <w:r w:rsidRPr="05C03114" w:rsidR="05C03114">
              <w:rPr>
                <w:rFonts w:ascii="Arial" w:hAnsi="Arial" w:eastAsia="Arial" w:cs="Arial"/>
                <w:sz w:val="18"/>
                <w:szCs w:val="18"/>
              </w:rPr>
              <w:t>Novice</w:t>
            </w:r>
          </w:p>
          <w:p w:rsidRPr="009528C5" w:rsidR="00B82CF0" w:rsidP="735FE81C" w:rsidRDefault="00B82CF0" w14:paraId="017828A4" w14:textId="77777777">
            <w:pPr>
              <w:jc w:val="center"/>
              <w:rPr>
                <w:rFonts w:ascii="Arial" w:hAnsi="Arial" w:eastAsia="Arial" w:cs="Arial"/>
                <w:sz w:val="18"/>
                <w:szCs w:val="18"/>
              </w:rPr>
            </w:pPr>
          </w:p>
        </w:tc>
        <w:tc>
          <w:tcPr>
            <w:tcW w:w="2555" w:type="dxa"/>
            <w:vMerge w:val="restart"/>
            <w:shd w:val="clear" w:color="auto" w:fill="FFFFFF" w:themeFill="background1"/>
            <w:tcMar/>
          </w:tcPr>
          <w:p w:rsidRPr="009528C5" w:rsidR="00B82CF0" w:rsidP="735FE81C" w:rsidRDefault="735FE81C" w14:paraId="60D46EA8" w14:textId="4152190A">
            <w:pPr>
              <w:rPr>
                <w:rFonts w:ascii="Arial" w:hAnsi="Arial" w:eastAsia="Arial" w:cs="Arial"/>
                <w:sz w:val="18"/>
                <w:szCs w:val="18"/>
                <w:highlight w:val="yellow"/>
              </w:rPr>
            </w:pPr>
            <w:r w:rsidRPr="735FE81C">
              <w:rPr>
                <w:rFonts w:ascii="Arial" w:hAnsi="Arial" w:eastAsia="Arial" w:cs="Arial"/>
                <w:sz w:val="18"/>
                <w:szCs w:val="18"/>
              </w:rPr>
              <w:t xml:space="preserve">-Distinguish between different types of evidence (e.g., existing evidence, implementation fidelity evidence, outcomes evidence) </w:t>
            </w:r>
          </w:p>
          <w:p w:rsidR="00B82CF0" w:rsidP="735FE81C" w:rsidRDefault="735FE81C" w14:paraId="3C49D1C0" w14:textId="77777777">
            <w:pPr>
              <w:rPr>
                <w:rFonts w:ascii="Arial" w:hAnsi="Arial" w:eastAsia="Arial" w:cs="Arial"/>
                <w:sz w:val="18"/>
                <w:szCs w:val="18"/>
              </w:rPr>
            </w:pPr>
            <w:r w:rsidRPr="735FE81C">
              <w:rPr>
                <w:rFonts w:ascii="Arial" w:hAnsi="Arial" w:eastAsia="Arial" w:cs="Arial"/>
                <w:sz w:val="18"/>
                <w:szCs w:val="18"/>
              </w:rPr>
              <w:t>-Discuss how using evidence to inform practice aligns with professional standards</w:t>
            </w:r>
          </w:p>
          <w:p w:rsidRPr="009528C5" w:rsidR="00B82CF0" w:rsidP="735FE81C" w:rsidRDefault="00B82CF0" w14:paraId="36E60808" w14:textId="563AD6AA">
            <w:pPr>
              <w:rPr>
                <w:rFonts w:ascii="Arial" w:hAnsi="Arial" w:eastAsia="Arial" w:cs="Arial"/>
                <w:sz w:val="18"/>
                <w:szCs w:val="18"/>
              </w:rPr>
            </w:pPr>
            <w:r w:rsidRPr="05C03114" w:rsidR="05C03114">
              <w:rPr>
                <w:rFonts w:ascii="Arial" w:hAnsi="Arial" w:eastAsia="Arial" w:cs="Arial"/>
                <w:sz w:val="18"/>
                <w:szCs w:val="18"/>
              </w:rPr>
              <w:t>-Argue the importance of using preexisting evidence to engage in learning improvement efforts</w:t>
            </w:r>
          </w:p>
        </w:tc>
        <w:tc>
          <w:tcPr>
            <w:tcW w:w="2520" w:type="dxa"/>
            <w:shd w:val="clear" w:color="auto" w:fill="FFFFFF" w:themeFill="background1"/>
            <w:tcMar/>
          </w:tcPr>
          <w:p w:rsidRPr="001011EA" w:rsidR="001011EA" w:rsidP="735FE81C" w:rsidRDefault="735FE81C" w14:paraId="6A8D0DC6" w14:textId="77777777">
            <w:pPr>
              <w:rPr>
                <w:rFonts w:ascii="Arial" w:hAnsi="Arial" w:eastAsia="Arial" w:cs="Arial"/>
                <w:sz w:val="18"/>
                <w:szCs w:val="18"/>
              </w:rPr>
            </w:pPr>
            <w:r w:rsidRPr="735FE81C">
              <w:rPr>
                <w:rFonts w:ascii="Arial" w:hAnsi="Arial" w:eastAsia="Arial" w:cs="Arial"/>
                <w:sz w:val="18"/>
                <w:szCs w:val="18"/>
              </w:rPr>
              <w:t>1.5-hour Evidence</w:t>
            </w:r>
          </w:p>
          <w:p w:rsidRPr="001011EA" w:rsidR="001011EA" w:rsidP="735FE81C" w:rsidRDefault="735FE81C" w14:paraId="4AF7579B" w14:textId="1E4DC111">
            <w:pPr>
              <w:rPr>
                <w:rFonts w:ascii="Arial" w:hAnsi="Arial" w:eastAsia="Arial" w:cs="Arial"/>
                <w:sz w:val="18"/>
                <w:szCs w:val="18"/>
              </w:rPr>
            </w:pPr>
            <w:r w:rsidRPr="735FE81C">
              <w:rPr>
                <w:rFonts w:ascii="Arial" w:hAnsi="Arial" w:eastAsia="Arial" w:cs="Arial"/>
                <w:sz w:val="18"/>
                <w:szCs w:val="18"/>
              </w:rPr>
              <w:t>-Based Program</w:t>
            </w:r>
          </w:p>
          <w:p w:rsidRPr="009528C5" w:rsidR="00B82CF0" w:rsidP="735FE81C" w:rsidRDefault="735FE81C" w14:paraId="6CF48505" w14:textId="3A92111E">
            <w:pPr>
              <w:rPr>
                <w:rFonts w:ascii="Arial" w:hAnsi="Arial" w:eastAsia="Arial" w:cs="Arial"/>
                <w:sz w:val="18"/>
                <w:szCs w:val="18"/>
              </w:rPr>
            </w:pPr>
            <w:r w:rsidRPr="735FE81C">
              <w:rPr>
                <w:rFonts w:ascii="Arial" w:hAnsi="Arial" w:eastAsia="Arial" w:cs="Arial"/>
                <w:sz w:val="18"/>
                <w:szCs w:val="18"/>
              </w:rPr>
              <w:t>Theory: Necessary for High-Quality Programs &amp; Assessment</w:t>
            </w:r>
          </w:p>
        </w:tc>
        <w:tc>
          <w:tcPr>
            <w:tcW w:w="1907" w:type="dxa"/>
            <w:shd w:val="clear" w:color="auto" w:fill="FFFFFF" w:themeFill="background1"/>
            <w:tcMar/>
          </w:tcPr>
          <w:p w:rsidRPr="009528C5" w:rsidR="00B82CF0" w:rsidP="735FE81C" w:rsidRDefault="735FE81C" w14:paraId="7BA00447" w14:textId="481C82BB">
            <w:pPr>
              <w:rPr>
                <w:rFonts w:ascii="Arial" w:hAnsi="Arial" w:eastAsia="Arial" w:cs="Arial"/>
                <w:sz w:val="18"/>
                <w:szCs w:val="18"/>
              </w:rPr>
            </w:pPr>
            <w:r w:rsidRPr="735FE81C">
              <w:rPr>
                <w:rFonts w:ascii="Arial" w:hAnsi="Arial" w:eastAsia="Arial" w:cs="Arial"/>
                <w:sz w:val="18"/>
                <w:szCs w:val="18"/>
              </w:rPr>
              <w:t>Can be implemented in any office or for individual learning as needed</w:t>
            </w:r>
          </w:p>
        </w:tc>
        <w:tc>
          <w:tcPr>
            <w:tcW w:w="1743" w:type="dxa"/>
            <w:shd w:val="clear" w:color="auto" w:fill="FFFFFF" w:themeFill="background1"/>
            <w:tcMar/>
          </w:tcPr>
          <w:p w:rsidRPr="000C4F3D" w:rsidR="00B82CF0" w:rsidP="735FE81C" w:rsidRDefault="735FE81C" w14:paraId="240E2956" w14:textId="7AD7BD10">
            <w:pPr>
              <w:pStyle w:val="ListParagraph"/>
              <w:numPr>
                <w:ilvl w:val="0"/>
                <w:numId w:val="1"/>
              </w:numPr>
              <w:rPr>
                <w:rFonts w:ascii="Arial" w:hAnsi="Arial" w:eastAsia="Arial" w:cs="Arial"/>
                <w:sz w:val="18"/>
                <w:szCs w:val="18"/>
              </w:rPr>
            </w:pPr>
            <w:r w:rsidRPr="735FE81C">
              <w:rPr>
                <w:rFonts w:ascii="Arial" w:hAnsi="Arial" w:eastAsia="Arial" w:cs="Arial"/>
                <w:sz w:val="18"/>
                <w:szCs w:val="18"/>
              </w:rPr>
              <w:t>Presentation</w:t>
            </w:r>
          </w:p>
        </w:tc>
      </w:tr>
      <w:tr w:rsidRPr="000965BE" w:rsidR="00B82CF0" w:rsidTr="6D014AC3" w14:paraId="29974BF2" w14:textId="77777777">
        <w:trPr>
          <w:trHeight w:val="20"/>
        </w:trPr>
        <w:tc>
          <w:tcPr>
            <w:tcW w:w="2145" w:type="dxa"/>
            <w:vMerge/>
            <w:tcMar/>
          </w:tcPr>
          <w:p w:rsidRPr="00E03A44" w:rsidR="00B82CF0" w:rsidP="0024671B" w:rsidRDefault="00B82CF0" w14:paraId="1ABEEC26" w14:textId="77777777">
            <w:pPr>
              <w:rPr>
                <w:rFonts w:ascii="Georgia" w:hAnsi="Georgia" w:cs="Times New Roman"/>
                <w:b/>
                <w:sz w:val="20"/>
                <w:szCs w:val="18"/>
              </w:rPr>
            </w:pPr>
          </w:p>
        </w:tc>
        <w:tc>
          <w:tcPr>
            <w:tcW w:w="2070" w:type="dxa"/>
            <w:vMerge/>
            <w:tcMar/>
          </w:tcPr>
          <w:p w:rsidR="00B82CF0" w:rsidP="0024671B" w:rsidRDefault="00B82CF0" w14:paraId="1F385495" w14:textId="77777777">
            <w:pPr>
              <w:rPr>
                <w:rFonts w:ascii="Georgia" w:hAnsi="Georgia" w:cs="Times New Roman"/>
                <w:sz w:val="18"/>
                <w:szCs w:val="18"/>
              </w:rPr>
            </w:pPr>
          </w:p>
        </w:tc>
        <w:tc>
          <w:tcPr>
            <w:tcW w:w="1455" w:type="dxa"/>
            <w:gridSpan w:val="2"/>
            <w:vMerge/>
            <w:tcMar/>
          </w:tcPr>
          <w:p w:rsidRPr="001B3CFB" w:rsidR="00B82CF0" w:rsidP="0024671B" w:rsidRDefault="00B82CF0" w14:paraId="332141C1" w14:textId="77777777">
            <w:pPr>
              <w:rPr>
                <w:rFonts w:ascii="Georgia" w:hAnsi="Georgia" w:cs="Times New Roman"/>
                <w:sz w:val="18"/>
                <w:szCs w:val="18"/>
              </w:rPr>
            </w:pPr>
          </w:p>
        </w:tc>
        <w:tc>
          <w:tcPr>
            <w:tcW w:w="2555" w:type="dxa"/>
            <w:vMerge/>
            <w:tcMar/>
          </w:tcPr>
          <w:p w:rsidRPr="00706A95" w:rsidR="00B82CF0" w:rsidP="0024671B" w:rsidRDefault="00B82CF0" w14:paraId="1DE44BF4" w14:textId="7D1AF650">
            <w:pPr>
              <w:rPr>
                <w:rFonts w:ascii="Georgia" w:hAnsi="Georgia" w:cs="Times New Roman"/>
                <w:sz w:val="18"/>
                <w:szCs w:val="18"/>
              </w:rPr>
            </w:pPr>
          </w:p>
        </w:tc>
        <w:tc>
          <w:tcPr>
            <w:tcW w:w="2520" w:type="dxa"/>
            <w:shd w:val="clear" w:color="auto" w:fill="FFFFFF" w:themeFill="background1"/>
            <w:tcMar/>
          </w:tcPr>
          <w:p w:rsidRPr="00BE16D2" w:rsidR="00B82CF0" w:rsidP="735FE81C" w:rsidRDefault="735FE81C" w14:paraId="3136FD9F" w14:textId="0C1014EE">
            <w:pPr>
              <w:rPr>
                <w:rFonts w:ascii="Arial" w:hAnsi="Arial" w:eastAsia="Arial" w:cs="Arial"/>
                <w:sz w:val="18"/>
                <w:szCs w:val="18"/>
              </w:rPr>
            </w:pPr>
            <w:r w:rsidRPr="735FE81C">
              <w:rPr>
                <w:rFonts w:ascii="Arial" w:hAnsi="Arial" w:eastAsia="Arial" w:cs="Arial"/>
                <w:sz w:val="18"/>
                <w:szCs w:val="18"/>
              </w:rPr>
              <w:t>2.5-hour Introduction to the Assessment of Student Learning &amp; Development</w:t>
            </w:r>
          </w:p>
        </w:tc>
        <w:tc>
          <w:tcPr>
            <w:tcW w:w="1907" w:type="dxa"/>
            <w:shd w:val="clear" w:color="auto" w:fill="FFFFFF" w:themeFill="background1"/>
            <w:tcMar/>
          </w:tcPr>
          <w:p w:rsidR="00B82CF0" w:rsidP="735FE81C" w:rsidRDefault="735FE81C" w14:paraId="25AC849F" w14:textId="5A9F65AC">
            <w:pPr>
              <w:rPr>
                <w:rFonts w:ascii="Arial" w:hAnsi="Arial" w:eastAsia="Arial" w:cs="Arial"/>
                <w:sz w:val="18"/>
                <w:szCs w:val="18"/>
              </w:rPr>
            </w:pPr>
            <w:r w:rsidRPr="735FE81C">
              <w:rPr>
                <w:rFonts w:ascii="Arial" w:hAnsi="Arial" w:eastAsia="Arial" w:cs="Arial"/>
                <w:sz w:val="18"/>
                <w:szCs w:val="18"/>
              </w:rPr>
              <w:t>Can be implemented in any office or for individual learning as needed</w:t>
            </w:r>
          </w:p>
        </w:tc>
        <w:tc>
          <w:tcPr>
            <w:tcW w:w="1743" w:type="dxa"/>
            <w:shd w:val="clear" w:color="auto" w:fill="FFFFFF" w:themeFill="background1"/>
            <w:tcMar/>
          </w:tcPr>
          <w:p w:rsidRPr="000C4F3D" w:rsidR="00B82CF0" w:rsidP="735FE81C" w:rsidRDefault="735FE81C" w14:paraId="666882A7" w14:textId="6840630D">
            <w:pPr>
              <w:pStyle w:val="ListParagraph"/>
              <w:numPr>
                <w:ilvl w:val="0"/>
                <w:numId w:val="1"/>
              </w:numPr>
              <w:rPr>
                <w:rFonts w:ascii="Arial" w:hAnsi="Arial" w:eastAsia="Arial" w:cs="Arial"/>
                <w:sz w:val="18"/>
                <w:szCs w:val="18"/>
              </w:rPr>
            </w:pPr>
            <w:r w:rsidRPr="735FE81C">
              <w:rPr>
                <w:rFonts w:ascii="Arial" w:hAnsi="Arial" w:eastAsia="Arial" w:cs="Arial"/>
                <w:sz w:val="18"/>
                <w:szCs w:val="18"/>
              </w:rPr>
              <w:t>Presentation</w:t>
            </w:r>
          </w:p>
          <w:p w:rsidRPr="001B3CFB" w:rsidR="00B82CF0" w:rsidP="735FE81C" w:rsidRDefault="00B82CF0" w14:paraId="52693807" w14:textId="77777777">
            <w:pPr>
              <w:rPr>
                <w:rFonts w:ascii="Arial" w:hAnsi="Arial" w:eastAsia="Arial" w:cs="Arial"/>
                <w:sz w:val="18"/>
                <w:szCs w:val="18"/>
                <w:highlight w:val="yellow"/>
              </w:rPr>
            </w:pPr>
          </w:p>
        </w:tc>
      </w:tr>
      <w:tr w:rsidRPr="000965BE" w:rsidR="00B82CF0" w:rsidTr="6D014AC3" w14:paraId="6BB3C916" w14:textId="77777777">
        <w:trPr>
          <w:trHeight w:val="1740"/>
        </w:trPr>
        <w:tc>
          <w:tcPr>
            <w:tcW w:w="2145" w:type="dxa"/>
            <w:vMerge/>
            <w:tcMar/>
          </w:tcPr>
          <w:p w:rsidRPr="00E03A44" w:rsidR="00B82CF0" w:rsidP="0024671B" w:rsidRDefault="00B82CF0" w14:paraId="64175BB4" w14:textId="77777777">
            <w:pPr>
              <w:rPr>
                <w:rFonts w:ascii="Georgia" w:hAnsi="Georgia" w:cs="Times New Roman"/>
                <w:b/>
                <w:sz w:val="20"/>
                <w:szCs w:val="18"/>
              </w:rPr>
            </w:pPr>
          </w:p>
        </w:tc>
        <w:tc>
          <w:tcPr>
            <w:tcW w:w="2070" w:type="dxa"/>
            <w:vMerge/>
            <w:tcMar/>
          </w:tcPr>
          <w:p w:rsidR="00B82CF0" w:rsidP="0024671B" w:rsidRDefault="00B82CF0" w14:paraId="6F25FA0E" w14:textId="77777777">
            <w:pPr>
              <w:rPr>
                <w:rFonts w:ascii="Georgia" w:hAnsi="Georgia" w:cs="Times New Roman"/>
                <w:sz w:val="18"/>
                <w:szCs w:val="18"/>
              </w:rPr>
            </w:pPr>
          </w:p>
        </w:tc>
        <w:tc>
          <w:tcPr>
            <w:tcW w:w="1455" w:type="dxa"/>
            <w:gridSpan w:val="2"/>
            <w:vMerge/>
            <w:tcMar/>
          </w:tcPr>
          <w:p w:rsidRPr="001B3CFB" w:rsidR="00B82CF0" w:rsidP="0024671B" w:rsidRDefault="00B82CF0" w14:paraId="7F15456D" w14:textId="77777777">
            <w:pPr>
              <w:rPr>
                <w:rFonts w:ascii="Georgia" w:hAnsi="Georgia" w:cs="Times New Roman"/>
                <w:sz w:val="18"/>
                <w:szCs w:val="18"/>
              </w:rPr>
            </w:pPr>
          </w:p>
        </w:tc>
        <w:tc>
          <w:tcPr>
            <w:tcW w:w="2555" w:type="dxa"/>
            <w:vMerge/>
            <w:tcMar/>
          </w:tcPr>
          <w:p w:rsidR="00B82CF0" w:rsidP="0024671B" w:rsidRDefault="00B82CF0" w14:paraId="6E155F3B" w14:textId="77777777">
            <w:pPr>
              <w:rPr>
                <w:rFonts w:ascii="Georgia" w:hAnsi="Georgia" w:cs="Times New Roman"/>
                <w:sz w:val="18"/>
                <w:szCs w:val="18"/>
              </w:rPr>
            </w:pPr>
          </w:p>
        </w:tc>
        <w:tc>
          <w:tcPr>
            <w:tcW w:w="2520" w:type="dxa"/>
            <w:shd w:val="clear" w:color="auto" w:fill="FFFFFF" w:themeFill="background1"/>
            <w:tcMar/>
          </w:tcPr>
          <w:p w:rsidR="00B82CF0" w:rsidP="735FE81C" w:rsidRDefault="735FE81C" w14:paraId="49E233FB" w14:textId="194AB98E">
            <w:pPr>
              <w:rPr>
                <w:rFonts w:ascii="Arial" w:hAnsi="Arial" w:eastAsia="Arial" w:cs="Arial"/>
                <w:sz w:val="18"/>
                <w:szCs w:val="18"/>
              </w:rPr>
            </w:pPr>
            <w:r w:rsidRPr="735FE81C">
              <w:rPr>
                <w:rFonts w:ascii="Arial" w:hAnsi="Arial" w:eastAsia="Arial" w:cs="Arial"/>
                <w:sz w:val="18"/>
                <w:szCs w:val="18"/>
              </w:rPr>
              <w:t>Full week (9am-5pm).</w:t>
            </w:r>
          </w:p>
          <w:p w:rsidR="00B82CF0" w:rsidP="735FE81C" w:rsidRDefault="735FE81C" w14:paraId="44F3455B" w14:textId="05F10FDC">
            <w:pPr>
              <w:rPr>
                <w:rFonts w:ascii="Arial" w:hAnsi="Arial" w:eastAsia="Arial" w:cs="Arial"/>
                <w:sz w:val="18"/>
                <w:szCs w:val="18"/>
              </w:rPr>
            </w:pPr>
            <w:r w:rsidRPr="735FE81C">
              <w:rPr>
                <w:rFonts w:ascii="Arial" w:hAnsi="Arial" w:eastAsia="Arial" w:cs="Arial"/>
                <w:sz w:val="18"/>
                <w:szCs w:val="18"/>
              </w:rPr>
              <w:t>Online Synchronous learning</w:t>
            </w:r>
          </w:p>
        </w:tc>
        <w:tc>
          <w:tcPr>
            <w:tcW w:w="1907" w:type="dxa"/>
            <w:shd w:val="clear" w:color="auto" w:fill="FFFFFF" w:themeFill="background1"/>
            <w:tcMar/>
          </w:tcPr>
          <w:p w:rsidRPr="009528C5" w:rsidR="00B82CF0" w:rsidP="735FE81C" w:rsidRDefault="735FE81C" w14:paraId="43B895B1" w14:textId="3DC98B44">
            <w:pPr>
              <w:rPr>
                <w:rFonts w:ascii="Arial" w:hAnsi="Arial" w:eastAsia="Arial" w:cs="Arial"/>
                <w:sz w:val="18"/>
                <w:szCs w:val="18"/>
              </w:rPr>
            </w:pPr>
            <w:r w:rsidRPr="735FE81C">
              <w:rPr>
                <w:rFonts w:ascii="Arial" w:hAnsi="Arial" w:eastAsia="Arial" w:cs="Arial"/>
                <w:sz w:val="18"/>
                <w:szCs w:val="18"/>
              </w:rPr>
              <w:t>30 professionals who wants to engage in outcomes assessment based in evidence-informed practice</w:t>
            </w:r>
          </w:p>
        </w:tc>
        <w:tc>
          <w:tcPr>
            <w:tcW w:w="1743" w:type="dxa"/>
            <w:shd w:val="clear" w:color="auto" w:fill="FFFFFF" w:themeFill="background1"/>
            <w:tcMar/>
          </w:tcPr>
          <w:p w:rsidRPr="000C4F3D" w:rsidR="00B82CF0" w:rsidP="735FE81C" w:rsidRDefault="00B20210" w14:paraId="1B5374C7" w14:textId="75A4312A">
            <w:pPr>
              <w:pStyle w:val="ListParagraph"/>
              <w:numPr>
                <w:ilvl w:val="0"/>
                <w:numId w:val="1"/>
              </w:numPr>
              <w:rPr>
                <w:rFonts w:ascii="Arial" w:hAnsi="Arial" w:eastAsia="Arial" w:cs="Arial"/>
                <w:sz w:val="18"/>
                <w:szCs w:val="18"/>
              </w:rPr>
            </w:pPr>
            <w:hyperlink r:id="rId8">
              <w:r w:rsidRPr="735FE81C" w:rsidR="735FE81C">
                <w:rPr>
                  <w:rStyle w:val="Hyperlink"/>
                  <w:rFonts w:ascii="Arial" w:hAnsi="Arial" w:eastAsia="Arial" w:cs="Arial"/>
                  <w:sz w:val="18"/>
                  <w:szCs w:val="18"/>
                </w:rPr>
                <w:t>Link to sign up</w:t>
              </w:r>
            </w:hyperlink>
          </w:p>
        </w:tc>
      </w:tr>
      <w:tr w:rsidRPr="000965BE" w:rsidR="00B82CF0" w:rsidTr="6D014AC3" w14:paraId="7D9457B4" w14:textId="77777777">
        <w:trPr>
          <w:trHeight w:val="21"/>
        </w:trPr>
        <w:tc>
          <w:tcPr>
            <w:tcW w:w="2145" w:type="dxa"/>
            <w:shd w:val="clear" w:color="auto" w:fill="DBCCE6"/>
            <w:tcMar/>
          </w:tcPr>
          <w:p w:rsidRPr="00E03A44" w:rsidR="00B82CF0" w:rsidP="735FE81C" w:rsidRDefault="735FE81C" w14:paraId="4BDFF07E" w14:textId="6CC84CC0">
            <w:pPr>
              <w:rPr>
                <w:rFonts w:ascii="Arial" w:hAnsi="Arial" w:eastAsia="Arial" w:cs="Arial"/>
                <w:b/>
                <w:bCs/>
                <w:sz w:val="20"/>
                <w:szCs w:val="20"/>
              </w:rPr>
            </w:pPr>
            <w:r w:rsidRPr="735FE81C">
              <w:rPr>
                <w:rFonts w:ascii="Arial" w:hAnsi="Arial" w:eastAsia="Arial" w:cs="Arial"/>
                <w:b/>
                <w:bCs/>
                <w:sz w:val="20"/>
                <w:szCs w:val="20"/>
              </w:rPr>
              <w:t>University Career Center Assessment Series</w:t>
            </w:r>
          </w:p>
        </w:tc>
        <w:tc>
          <w:tcPr>
            <w:tcW w:w="2070" w:type="dxa"/>
            <w:shd w:val="clear" w:color="auto" w:fill="DBCCE6"/>
            <w:tcMar/>
          </w:tcPr>
          <w:p w:rsidR="00B82CF0" w:rsidP="735FE81C" w:rsidRDefault="735FE81C" w14:paraId="5B356626" w14:textId="77777777">
            <w:pPr>
              <w:rPr>
                <w:rFonts w:ascii="Arial" w:hAnsi="Arial" w:eastAsia="Arial" w:cs="Arial"/>
                <w:sz w:val="18"/>
                <w:szCs w:val="18"/>
              </w:rPr>
            </w:pPr>
            <w:r w:rsidRPr="735FE81C">
              <w:rPr>
                <w:rFonts w:ascii="Arial" w:hAnsi="Arial" w:eastAsia="Arial" w:cs="Arial"/>
                <w:sz w:val="18"/>
                <w:szCs w:val="18"/>
              </w:rPr>
              <w:t>Three sessions, and individual or small group consultations in between, on evidence-informed practice at each stage of the assessment cycle in an office-specific context.</w:t>
            </w:r>
          </w:p>
          <w:p w:rsidRPr="00775D0D" w:rsidR="00B82CF0" w:rsidP="735FE81C" w:rsidRDefault="00B82CF0" w14:paraId="017695E4" w14:textId="77777777">
            <w:pPr>
              <w:rPr>
                <w:rFonts w:ascii="Arial" w:hAnsi="Arial" w:eastAsia="Arial" w:cs="Arial"/>
                <w:sz w:val="18"/>
                <w:szCs w:val="18"/>
              </w:rPr>
            </w:pPr>
          </w:p>
        </w:tc>
        <w:tc>
          <w:tcPr>
            <w:tcW w:w="1455" w:type="dxa"/>
            <w:gridSpan w:val="2"/>
            <w:shd w:val="clear" w:color="auto" w:fill="DBCCE6"/>
            <w:tcMar/>
          </w:tcPr>
          <w:p w:rsidRPr="001B3CFB" w:rsidR="00B82CF0" w:rsidP="735FE81C" w:rsidRDefault="735FE81C" w14:paraId="64ADCC86" w14:textId="32DA82B0">
            <w:pPr>
              <w:jc w:val="center"/>
              <w:rPr>
                <w:rFonts w:ascii="Arial" w:hAnsi="Arial" w:eastAsia="Arial" w:cs="Arial"/>
                <w:sz w:val="18"/>
                <w:szCs w:val="18"/>
              </w:rPr>
            </w:pPr>
            <w:r w:rsidRPr="05C03114" w:rsidR="05C03114">
              <w:rPr>
                <w:rFonts w:ascii="Arial" w:hAnsi="Arial" w:eastAsia="Arial" w:cs="Arial"/>
                <w:sz w:val="18"/>
                <w:szCs w:val="18"/>
              </w:rPr>
              <w:t>Novice</w:t>
            </w:r>
          </w:p>
        </w:tc>
        <w:tc>
          <w:tcPr>
            <w:tcW w:w="2555" w:type="dxa"/>
            <w:shd w:val="clear" w:color="auto" w:fill="DBCCE6"/>
            <w:tcMar/>
          </w:tcPr>
          <w:p w:rsidRPr="000A050B" w:rsidR="00B82CF0" w:rsidP="735FE81C" w:rsidRDefault="735FE81C" w14:paraId="7806F102" w14:textId="6775F8D9">
            <w:pPr>
              <w:rPr>
                <w:rFonts w:ascii="Arial" w:hAnsi="Arial" w:eastAsia="Arial" w:cs="Arial"/>
                <w:sz w:val="18"/>
                <w:szCs w:val="18"/>
              </w:rPr>
            </w:pPr>
            <w:r w:rsidRPr="735FE81C">
              <w:rPr>
                <w:rFonts w:ascii="Arial" w:hAnsi="Arial" w:eastAsia="Arial" w:cs="Arial"/>
                <w:sz w:val="18"/>
                <w:szCs w:val="18"/>
              </w:rPr>
              <w:t xml:space="preserve">- Describe the levels of Bloom's taxonomy as they relate to student development </w:t>
            </w:r>
          </w:p>
          <w:p w:rsidRPr="000A050B" w:rsidR="00B82CF0" w:rsidP="735FE81C" w:rsidRDefault="735FE81C" w14:paraId="76B964C4" w14:textId="11E7D6B3">
            <w:pPr>
              <w:rPr>
                <w:rFonts w:ascii="Arial" w:hAnsi="Arial" w:eastAsia="Arial" w:cs="Arial"/>
                <w:sz w:val="18"/>
                <w:szCs w:val="18"/>
              </w:rPr>
            </w:pPr>
            <w:r w:rsidRPr="735FE81C">
              <w:rPr>
                <w:rFonts w:ascii="Arial" w:hAnsi="Arial" w:eastAsia="Arial" w:cs="Arial"/>
                <w:sz w:val="18"/>
                <w:szCs w:val="18"/>
              </w:rPr>
              <w:t xml:space="preserve">-Identify aspects of a well-written learning outcome </w:t>
            </w:r>
          </w:p>
          <w:p w:rsidRPr="000A050B" w:rsidR="00B82CF0" w:rsidP="735FE81C" w:rsidRDefault="735FE81C" w14:paraId="0CAC6540" w14:textId="2A9A93EE">
            <w:pPr>
              <w:rPr>
                <w:rFonts w:ascii="Arial" w:hAnsi="Arial" w:eastAsia="Arial" w:cs="Arial"/>
                <w:sz w:val="18"/>
                <w:szCs w:val="18"/>
              </w:rPr>
            </w:pPr>
            <w:r w:rsidRPr="735FE81C">
              <w:rPr>
                <w:rFonts w:ascii="Arial" w:hAnsi="Arial" w:eastAsia="Arial" w:cs="Arial"/>
                <w:sz w:val="18"/>
                <w:szCs w:val="18"/>
              </w:rPr>
              <w:t>-Construct 1-3 learning outcomes relevant to their role.</w:t>
            </w:r>
          </w:p>
          <w:p w:rsidRPr="000A050B" w:rsidR="00B82CF0" w:rsidP="735FE81C" w:rsidRDefault="735FE81C" w14:paraId="054A4C87" w14:textId="735E890D">
            <w:pPr>
              <w:rPr>
                <w:rFonts w:ascii="Arial" w:hAnsi="Arial" w:eastAsia="Arial" w:cs="Arial"/>
                <w:sz w:val="18"/>
                <w:szCs w:val="18"/>
              </w:rPr>
            </w:pPr>
            <w:r w:rsidRPr="735FE81C">
              <w:rPr>
                <w:rFonts w:ascii="Arial" w:hAnsi="Arial" w:eastAsia="Arial" w:cs="Arial"/>
                <w:sz w:val="18"/>
                <w:szCs w:val="18"/>
              </w:rPr>
              <w:t>-List three common ways to assess learning</w:t>
            </w:r>
          </w:p>
          <w:p w:rsidRPr="000A050B" w:rsidR="00B82CF0" w:rsidP="735FE81C" w:rsidRDefault="735FE81C" w14:paraId="757C095F" w14:textId="62132790">
            <w:pPr>
              <w:rPr>
                <w:rFonts w:ascii="Arial" w:hAnsi="Arial" w:eastAsia="Arial" w:cs="Arial"/>
                <w:sz w:val="18"/>
                <w:szCs w:val="18"/>
              </w:rPr>
            </w:pPr>
            <w:r w:rsidRPr="735FE81C">
              <w:rPr>
                <w:rFonts w:ascii="Arial" w:hAnsi="Arial" w:eastAsia="Arial" w:cs="Arial"/>
                <w:sz w:val="18"/>
                <w:szCs w:val="18"/>
              </w:rPr>
              <w:t>-Describe the process of Weigh Pig, Feed Pig, Weigh Pig</w:t>
            </w:r>
          </w:p>
          <w:p w:rsidRPr="000A050B" w:rsidR="00B82CF0" w:rsidP="735FE81C" w:rsidRDefault="00B82CF0" w14:paraId="6E1F8C93" w14:textId="00FA242B">
            <w:pPr>
              <w:rPr>
                <w:rFonts w:ascii="Arial" w:hAnsi="Arial" w:eastAsia="Arial" w:cs="Arial"/>
                <w:sz w:val="18"/>
                <w:szCs w:val="18"/>
              </w:rPr>
            </w:pPr>
            <w:r w:rsidRPr="05C03114" w:rsidR="05C03114">
              <w:rPr>
                <w:rFonts w:ascii="Arial" w:hAnsi="Arial" w:eastAsia="Arial" w:cs="Arial"/>
                <w:sz w:val="18"/>
                <w:szCs w:val="18"/>
              </w:rPr>
              <w:t>-List the 3 conclusions you can draw based on analysis of program data</w:t>
            </w:r>
          </w:p>
        </w:tc>
        <w:tc>
          <w:tcPr>
            <w:tcW w:w="2520" w:type="dxa"/>
            <w:shd w:val="clear" w:color="auto" w:fill="DBCCE6"/>
            <w:tcMar/>
          </w:tcPr>
          <w:p w:rsidRPr="001B3CFB" w:rsidR="00B82CF0" w:rsidP="735FE81C" w:rsidRDefault="735FE81C" w14:paraId="4B60D538" w14:textId="77777777">
            <w:pPr>
              <w:rPr>
                <w:rFonts w:ascii="Arial" w:hAnsi="Arial" w:eastAsia="Arial" w:cs="Arial"/>
                <w:sz w:val="18"/>
                <w:szCs w:val="18"/>
              </w:rPr>
            </w:pPr>
            <w:r w:rsidRPr="735FE81C">
              <w:rPr>
                <w:rFonts w:ascii="Arial" w:hAnsi="Arial" w:eastAsia="Arial" w:cs="Arial"/>
                <w:sz w:val="18"/>
                <w:szCs w:val="18"/>
              </w:rPr>
              <w:t>Semester-long series, composed of three, 1.5-hour sessions and hour-long consultations in-between sessions.</w:t>
            </w:r>
          </w:p>
        </w:tc>
        <w:tc>
          <w:tcPr>
            <w:tcW w:w="1907" w:type="dxa"/>
            <w:shd w:val="clear" w:color="auto" w:fill="DBCCE6"/>
            <w:tcMar/>
          </w:tcPr>
          <w:p w:rsidRPr="001B3CFB" w:rsidR="00B82CF0" w:rsidP="735FE81C" w:rsidRDefault="735FE81C" w14:paraId="5CE09BE2" w14:textId="4A0BCD0C">
            <w:pPr>
              <w:rPr>
                <w:rFonts w:ascii="Arial" w:hAnsi="Arial" w:eastAsia="Arial" w:cs="Arial"/>
                <w:sz w:val="18"/>
                <w:szCs w:val="18"/>
              </w:rPr>
            </w:pPr>
            <w:r w:rsidRPr="735FE81C">
              <w:rPr>
                <w:rFonts w:ascii="Arial" w:hAnsi="Arial" w:eastAsia="Arial" w:cs="Arial"/>
                <w:sz w:val="18"/>
                <w:szCs w:val="18"/>
              </w:rPr>
              <w:t>Available to anyone within the University Career Center at JMU (most effective with between 5-20 attendees)</w:t>
            </w:r>
          </w:p>
        </w:tc>
        <w:tc>
          <w:tcPr>
            <w:tcW w:w="1743" w:type="dxa"/>
            <w:shd w:val="clear" w:color="auto" w:fill="DBCCE6"/>
            <w:tcMar/>
          </w:tcPr>
          <w:p w:rsidRPr="000A050B" w:rsidR="00B82CF0" w:rsidP="735FE81C" w:rsidRDefault="735FE81C" w14:paraId="157D28D6" w14:textId="2CB4F649">
            <w:pPr>
              <w:pStyle w:val="ListParagraph"/>
              <w:numPr>
                <w:ilvl w:val="0"/>
                <w:numId w:val="1"/>
              </w:numPr>
              <w:rPr>
                <w:rFonts w:ascii="Arial" w:hAnsi="Arial" w:eastAsia="Arial" w:cs="Arial"/>
                <w:sz w:val="18"/>
                <w:szCs w:val="18"/>
              </w:rPr>
            </w:pPr>
            <w:r w:rsidRPr="735FE81C">
              <w:rPr>
                <w:rFonts w:ascii="Arial" w:hAnsi="Arial" w:eastAsia="Arial" w:cs="Arial"/>
                <w:sz w:val="18"/>
                <w:szCs w:val="18"/>
              </w:rPr>
              <w:t>Presentations with activities</w:t>
            </w:r>
          </w:p>
        </w:tc>
      </w:tr>
      <w:tr w:rsidRPr="000965BE" w:rsidR="005F5A31" w:rsidTr="6D014AC3" w14:paraId="5D2894C0" w14:textId="77777777">
        <w:trPr>
          <w:trHeight w:val="21"/>
        </w:trPr>
        <w:tc>
          <w:tcPr>
            <w:tcW w:w="2145" w:type="dxa"/>
            <w:shd w:val="clear" w:color="auto" w:fill="FFFFFF" w:themeFill="background1"/>
            <w:tcMar/>
          </w:tcPr>
          <w:p w:rsidRPr="00E03A44" w:rsidR="005F5A31" w:rsidP="735FE81C" w:rsidRDefault="735FE81C" w14:paraId="67160549" w14:textId="7CEEDCDC">
            <w:pPr>
              <w:rPr>
                <w:rFonts w:ascii="Arial" w:hAnsi="Arial" w:eastAsia="Arial" w:cs="Arial"/>
                <w:b/>
                <w:bCs/>
                <w:sz w:val="20"/>
                <w:szCs w:val="20"/>
              </w:rPr>
            </w:pPr>
            <w:r w:rsidRPr="735FE81C">
              <w:rPr>
                <w:rFonts w:ascii="Arial" w:hAnsi="Arial" w:eastAsia="Arial" w:cs="Arial"/>
                <w:b/>
                <w:bCs/>
                <w:sz w:val="20"/>
                <w:szCs w:val="20"/>
              </w:rPr>
              <w:t>Evidence-Based Programming Website</w:t>
            </w:r>
          </w:p>
        </w:tc>
        <w:tc>
          <w:tcPr>
            <w:tcW w:w="2070" w:type="dxa"/>
            <w:shd w:val="clear" w:color="auto" w:fill="FFFFFF" w:themeFill="background1"/>
            <w:tcMar/>
          </w:tcPr>
          <w:p w:rsidR="005F5A31" w:rsidP="735FE81C" w:rsidRDefault="005F5A31" w14:paraId="52D5C252" w14:textId="45F21134">
            <w:pPr>
              <w:rPr>
                <w:rFonts w:ascii="Arial" w:hAnsi="Arial" w:eastAsia="Arial" w:cs="Arial"/>
                <w:sz w:val="18"/>
                <w:szCs w:val="18"/>
              </w:rPr>
            </w:pPr>
            <w:r w:rsidRPr="05C03114" w:rsidR="05C03114">
              <w:rPr>
                <w:rFonts w:ascii="Arial" w:hAnsi="Arial" w:eastAsia="Arial" w:cs="Arial"/>
                <w:sz w:val="18"/>
                <w:szCs w:val="18"/>
              </w:rPr>
              <w:t>Webpage that helps student affairs professionals answer the following questions: “Where can we find high-quality information regarding effective programming? How can we determine what scholarship provides credible evidence of effectiveness versus (mis)information that should be ignored? How should we summarize the existing credible evidence to inform our educational programming decisions?”</w:t>
            </w:r>
          </w:p>
        </w:tc>
        <w:tc>
          <w:tcPr>
            <w:tcW w:w="1455" w:type="dxa"/>
            <w:gridSpan w:val="2"/>
            <w:shd w:val="clear" w:color="auto" w:fill="FFFFFF" w:themeFill="background1"/>
            <w:tcMar/>
          </w:tcPr>
          <w:p w:rsidR="005F5A31" w:rsidP="05C03114" w:rsidRDefault="735FE81C" w14:paraId="6D8CA6D8" w14:textId="0390FB85">
            <w:pPr>
              <w:pStyle w:val="Normal"/>
              <w:bidi w:val="0"/>
              <w:spacing w:before="0" w:beforeAutospacing="off" w:after="0" w:afterAutospacing="off" w:line="259" w:lineRule="auto"/>
              <w:ind w:left="0" w:right="0"/>
              <w:jc w:val="center"/>
              <w:rPr>
                <w:rFonts w:ascii="Arial" w:hAnsi="Arial" w:eastAsia="Arial" w:cs="Arial"/>
                <w:sz w:val="18"/>
                <w:szCs w:val="18"/>
              </w:rPr>
            </w:pPr>
            <w:r w:rsidRPr="05C03114" w:rsidR="05C03114">
              <w:rPr>
                <w:rFonts w:ascii="Arial" w:hAnsi="Arial" w:eastAsia="Arial" w:cs="Arial"/>
                <w:sz w:val="18"/>
                <w:szCs w:val="18"/>
              </w:rPr>
              <w:t>Advanced Beginner</w:t>
            </w:r>
          </w:p>
        </w:tc>
        <w:tc>
          <w:tcPr>
            <w:tcW w:w="2555" w:type="dxa"/>
            <w:shd w:val="clear" w:color="auto" w:fill="FFFFFF" w:themeFill="background1"/>
            <w:tcMar/>
          </w:tcPr>
          <w:p w:rsidR="005F5A31" w:rsidP="735FE81C" w:rsidRDefault="735FE81C" w14:paraId="6E145CC0" w14:textId="77777777">
            <w:pPr>
              <w:rPr>
                <w:rFonts w:ascii="Arial" w:hAnsi="Arial" w:eastAsia="Arial" w:cs="Arial"/>
                <w:sz w:val="18"/>
                <w:szCs w:val="18"/>
              </w:rPr>
            </w:pPr>
            <w:r w:rsidRPr="735FE81C">
              <w:rPr>
                <w:rFonts w:ascii="Arial" w:hAnsi="Arial" w:eastAsia="Arial" w:cs="Arial"/>
                <w:sz w:val="18"/>
                <w:szCs w:val="18"/>
              </w:rPr>
              <w:t>-Articulate the characteristics of credible evidence</w:t>
            </w:r>
          </w:p>
          <w:p w:rsidRPr="001B3CFB" w:rsidR="005F5A31" w:rsidP="735FE81C" w:rsidRDefault="735FE81C" w14:paraId="1E37157B" w14:textId="77777777">
            <w:pPr>
              <w:rPr>
                <w:rFonts w:ascii="Arial" w:hAnsi="Arial" w:eastAsia="Arial" w:cs="Arial"/>
                <w:sz w:val="18"/>
                <w:szCs w:val="18"/>
              </w:rPr>
            </w:pPr>
            <w:r w:rsidRPr="735FE81C">
              <w:rPr>
                <w:rFonts w:ascii="Arial" w:hAnsi="Arial" w:eastAsia="Arial" w:cs="Arial"/>
                <w:sz w:val="18"/>
                <w:szCs w:val="18"/>
              </w:rPr>
              <w:t>-Locate best available evidence</w:t>
            </w:r>
          </w:p>
          <w:p w:rsidRPr="001B3CFB" w:rsidR="005F5A31" w:rsidP="735FE81C" w:rsidRDefault="735FE81C" w14:paraId="423FE088" w14:textId="77777777">
            <w:pPr>
              <w:rPr>
                <w:rFonts w:ascii="Arial" w:hAnsi="Arial" w:eastAsia="Arial" w:cs="Arial"/>
                <w:sz w:val="18"/>
                <w:szCs w:val="18"/>
              </w:rPr>
            </w:pPr>
            <w:r w:rsidRPr="735FE81C">
              <w:rPr>
                <w:rFonts w:ascii="Arial" w:hAnsi="Arial" w:eastAsia="Arial" w:cs="Arial"/>
                <w:sz w:val="18"/>
                <w:szCs w:val="18"/>
              </w:rPr>
              <w:t xml:space="preserve">-Use repositories to evaluate sources of </w:t>
            </w:r>
            <w:r w:rsidRPr="735FE81C">
              <w:rPr>
                <w:rFonts w:ascii="Arial" w:hAnsi="Arial" w:eastAsia="Arial" w:cs="Arial"/>
                <w:sz w:val="18"/>
                <w:szCs w:val="18"/>
              </w:rPr>
              <w:lastRenderedPageBreak/>
              <w:t>best available evidence</w:t>
            </w:r>
          </w:p>
          <w:p w:rsidRPr="2B5D7ADF" w:rsidR="005F5A31" w:rsidP="735FE81C" w:rsidRDefault="005F5A31" w14:paraId="47E98B41" w14:textId="77777777">
            <w:pPr>
              <w:rPr>
                <w:rFonts w:ascii="Arial" w:hAnsi="Arial" w:eastAsia="Arial" w:cs="Arial"/>
                <w:sz w:val="18"/>
                <w:szCs w:val="18"/>
              </w:rPr>
            </w:pPr>
          </w:p>
        </w:tc>
        <w:tc>
          <w:tcPr>
            <w:tcW w:w="2520" w:type="dxa"/>
            <w:shd w:val="clear" w:color="auto" w:fill="FFFFFF" w:themeFill="background1"/>
            <w:tcMar/>
          </w:tcPr>
          <w:p w:rsidRPr="000A050B" w:rsidR="005F5A31" w:rsidP="735FE81C" w:rsidRDefault="735FE81C" w14:paraId="65900DE9" w14:textId="27959ADF">
            <w:pPr>
              <w:rPr>
                <w:rFonts w:ascii="Arial" w:hAnsi="Arial" w:eastAsia="Arial" w:cs="Arial"/>
                <w:sz w:val="18"/>
                <w:szCs w:val="18"/>
              </w:rPr>
            </w:pPr>
            <w:r w:rsidRPr="735FE81C">
              <w:rPr>
                <w:rFonts w:ascii="Arial" w:hAnsi="Arial" w:eastAsia="Arial" w:cs="Arial"/>
                <w:sz w:val="18"/>
                <w:szCs w:val="18"/>
              </w:rPr>
              <w:lastRenderedPageBreak/>
              <w:t>Asynchronous and can be completed in one week.</w:t>
            </w:r>
          </w:p>
        </w:tc>
        <w:tc>
          <w:tcPr>
            <w:tcW w:w="1907" w:type="dxa"/>
            <w:shd w:val="clear" w:color="auto" w:fill="FFFFFF" w:themeFill="background1"/>
            <w:tcMar/>
          </w:tcPr>
          <w:p w:rsidR="005F5A31" w:rsidP="735FE81C" w:rsidRDefault="735FE81C" w14:paraId="6272808E" w14:textId="31633235">
            <w:pPr>
              <w:rPr>
                <w:rFonts w:ascii="Arial" w:hAnsi="Arial" w:eastAsia="Arial" w:cs="Arial"/>
                <w:sz w:val="18"/>
                <w:szCs w:val="18"/>
              </w:rPr>
            </w:pPr>
            <w:r w:rsidRPr="735FE81C">
              <w:rPr>
                <w:rFonts w:ascii="Arial" w:hAnsi="Arial" w:eastAsia="Arial" w:cs="Arial"/>
                <w:sz w:val="18"/>
                <w:szCs w:val="18"/>
              </w:rPr>
              <w:t>Available to anyone at our institution and beyond</w:t>
            </w:r>
          </w:p>
        </w:tc>
        <w:tc>
          <w:tcPr>
            <w:tcW w:w="1743" w:type="dxa"/>
            <w:shd w:val="clear" w:color="auto" w:fill="FFFFFF" w:themeFill="background1"/>
            <w:tcMar/>
          </w:tcPr>
          <w:p w:rsidRPr="2B5D7ADF" w:rsidR="005F5A31" w:rsidP="735FE81C" w:rsidRDefault="00B20210" w14:paraId="5DBAAA6A" w14:textId="4589E2E3">
            <w:pPr>
              <w:pStyle w:val="ListParagraph"/>
              <w:numPr>
                <w:ilvl w:val="0"/>
                <w:numId w:val="1"/>
              </w:numPr>
              <w:rPr>
                <w:rFonts w:ascii="Arial" w:hAnsi="Arial" w:eastAsia="Arial" w:cs="Arial"/>
                <w:sz w:val="18"/>
                <w:szCs w:val="18"/>
              </w:rPr>
            </w:pPr>
            <w:hyperlink r:id="rId9">
              <w:r w:rsidRPr="735FE81C" w:rsidR="735FE81C">
                <w:rPr>
                  <w:rStyle w:val="Hyperlink"/>
                  <w:rFonts w:ascii="Arial" w:hAnsi="Arial" w:eastAsia="Arial" w:cs="Arial"/>
                  <w:sz w:val="18"/>
                  <w:szCs w:val="18"/>
                </w:rPr>
                <w:t>Link to website</w:t>
              </w:r>
            </w:hyperlink>
          </w:p>
        </w:tc>
      </w:tr>
      <w:tr w:rsidRPr="000965BE" w:rsidR="005F5A31" w:rsidTr="6D014AC3" w14:paraId="23AD67B3" w14:textId="77777777">
        <w:trPr>
          <w:trHeight w:val="21"/>
        </w:trPr>
        <w:tc>
          <w:tcPr>
            <w:tcW w:w="2145" w:type="dxa"/>
            <w:shd w:val="clear" w:color="auto" w:fill="DBCCE6"/>
            <w:tcMar/>
          </w:tcPr>
          <w:p w:rsidRPr="2B5D7ADF" w:rsidR="005F5A31" w:rsidP="735FE81C" w:rsidRDefault="735FE81C" w14:paraId="05C358C6" w14:textId="222B7F54">
            <w:pPr>
              <w:rPr>
                <w:rFonts w:ascii="Arial" w:hAnsi="Arial" w:eastAsia="Arial" w:cs="Arial"/>
                <w:b/>
                <w:bCs/>
                <w:sz w:val="20"/>
                <w:szCs w:val="20"/>
              </w:rPr>
            </w:pPr>
            <w:r w:rsidRPr="735FE81C">
              <w:rPr>
                <w:rFonts w:ascii="Arial" w:hAnsi="Arial" w:eastAsia="Arial" w:cs="Arial"/>
                <w:b/>
                <w:bCs/>
                <w:sz w:val="20"/>
                <w:szCs w:val="20"/>
              </w:rPr>
              <w:t>Reading Groups</w:t>
            </w:r>
          </w:p>
        </w:tc>
        <w:tc>
          <w:tcPr>
            <w:tcW w:w="2070" w:type="dxa"/>
            <w:shd w:val="clear" w:color="auto" w:fill="DBCCE6"/>
            <w:tcMar/>
          </w:tcPr>
          <w:p w:rsidRPr="00701457" w:rsidR="005F5A31" w:rsidP="735FE81C" w:rsidRDefault="735FE81C" w14:paraId="323152C3" w14:textId="68C2BFAE">
            <w:pPr>
              <w:rPr>
                <w:rFonts w:ascii="Arial" w:hAnsi="Arial" w:eastAsia="Arial" w:cs="Arial"/>
                <w:sz w:val="18"/>
                <w:szCs w:val="18"/>
              </w:rPr>
            </w:pPr>
            <w:r w:rsidRPr="735FE81C">
              <w:rPr>
                <w:rFonts w:ascii="Arial" w:hAnsi="Arial" w:eastAsia="Arial" w:cs="Arial"/>
                <w:sz w:val="18"/>
                <w:szCs w:val="18"/>
              </w:rPr>
              <w:t>Semester-long group that read articles, chapters, and whole books related to effective learning and development strategies (e.g., curricular approach, how learning works)</w:t>
            </w:r>
          </w:p>
        </w:tc>
        <w:tc>
          <w:tcPr>
            <w:tcW w:w="1455" w:type="dxa"/>
            <w:gridSpan w:val="2"/>
            <w:shd w:val="clear" w:color="auto" w:fill="DBCCE6"/>
            <w:tcMar/>
          </w:tcPr>
          <w:p w:rsidR="005F5A31" w:rsidP="05C03114" w:rsidRDefault="735FE81C" w14:paraId="2940CA79" w14:textId="14254744">
            <w:pPr>
              <w:pStyle w:val="Normal"/>
              <w:bidi w:val="0"/>
              <w:spacing w:before="0" w:beforeAutospacing="off" w:after="0" w:afterAutospacing="off" w:line="259" w:lineRule="auto"/>
              <w:ind w:left="0" w:right="0"/>
              <w:jc w:val="center"/>
              <w:rPr>
                <w:rFonts w:ascii="Arial" w:hAnsi="Arial" w:eastAsia="Arial" w:cs="Arial"/>
                <w:sz w:val="18"/>
                <w:szCs w:val="18"/>
              </w:rPr>
            </w:pPr>
            <w:r w:rsidRPr="05C03114" w:rsidR="05C03114">
              <w:rPr>
                <w:rFonts w:ascii="Arial" w:hAnsi="Arial" w:eastAsia="Arial" w:cs="Arial"/>
                <w:sz w:val="18"/>
                <w:szCs w:val="18"/>
              </w:rPr>
              <w:t>Advanced Beginner</w:t>
            </w:r>
          </w:p>
        </w:tc>
        <w:tc>
          <w:tcPr>
            <w:tcW w:w="2555" w:type="dxa"/>
            <w:shd w:val="clear" w:color="auto" w:fill="DBCCE6"/>
            <w:tcMar/>
          </w:tcPr>
          <w:p w:rsidR="005F5A31" w:rsidP="735FE81C" w:rsidRDefault="735FE81C" w14:paraId="58D56614" w14:textId="00FABB3B">
            <w:pPr>
              <w:rPr>
                <w:rFonts w:ascii="Arial" w:hAnsi="Arial" w:eastAsia="Arial" w:cs="Arial"/>
                <w:sz w:val="18"/>
                <w:szCs w:val="18"/>
              </w:rPr>
            </w:pPr>
            <w:r w:rsidRPr="735FE81C">
              <w:rPr>
                <w:rFonts w:ascii="Arial" w:hAnsi="Arial" w:eastAsia="Arial" w:cs="Arial"/>
                <w:sz w:val="18"/>
                <w:szCs w:val="18"/>
              </w:rPr>
              <w:t xml:space="preserve">- Describe the relationship between motivation and the efficacy of Wise Interventions and other programming </w:t>
            </w:r>
          </w:p>
          <w:p w:rsidR="005F5A31" w:rsidP="735FE81C" w:rsidRDefault="735FE81C" w14:paraId="0C6A3D0C" w14:textId="0D272F64">
            <w:pPr>
              <w:rPr>
                <w:rFonts w:ascii="Arial" w:hAnsi="Arial" w:eastAsia="Arial" w:cs="Arial"/>
                <w:sz w:val="18"/>
                <w:szCs w:val="18"/>
              </w:rPr>
            </w:pPr>
            <w:r w:rsidRPr="735FE81C">
              <w:rPr>
                <w:rFonts w:ascii="Arial" w:hAnsi="Arial" w:eastAsia="Arial" w:cs="Arial"/>
                <w:sz w:val="18"/>
                <w:szCs w:val="18"/>
              </w:rPr>
              <w:t xml:space="preserve">-List factors that contribute to student learning and retention of knowledge </w:t>
            </w:r>
          </w:p>
          <w:p w:rsidR="005F5A31" w:rsidP="735FE81C" w:rsidRDefault="735FE81C" w14:paraId="3B7E8EBF" w14:textId="61DAE72D">
            <w:pPr>
              <w:rPr>
                <w:rFonts w:ascii="Arial" w:hAnsi="Arial" w:eastAsia="Arial" w:cs="Arial"/>
                <w:sz w:val="18"/>
                <w:szCs w:val="18"/>
              </w:rPr>
            </w:pPr>
            <w:r w:rsidRPr="735FE81C">
              <w:rPr>
                <w:rFonts w:ascii="Arial" w:hAnsi="Arial" w:eastAsia="Arial" w:cs="Arial"/>
                <w:sz w:val="18"/>
                <w:szCs w:val="18"/>
              </w:rPr>
              <w:t xml:space="preserve">-Evaluate effective teaching strategies for optimal learning </w:t>
            </w:r>
          </w:p>
          <w:p w:rsidR="005623AB" w:rsidP="735FE81C" w:rsidRDefault="005623AB" w14:paraId="35A4504F" w14:textId="33CD8215">
            <w:pPr>
              <w:rPr>
                <w:rFonts w:ascii="Arial" w:hAnsi="Arial" w:eastAsia="Arial" w:cs="Arial"/>
                <w:sz w:val="18"/>
                <w:szCs w:val="18"/>
              </w:rPr>
            </w:pPr>
            <w:r w:rsidRPr="05C03114" w:rsidR="05C03114">
              <w:rPr>
                <w:rFonts w:ascii="Arial" w:hAnsi="Arial" w:eastAsia="Arial" w:cs="Arial"/>
                <w:sz w:val="18"/>
                <w:szCs w:val="18"/>
              </w:rPr>
              <w:t>-Infuse the scientific concepts of learning into programming and/or curriculum</w:t>
            </w:r>
          </w:p>
        </w:tc>
        <w:tc>
          <w:tcPr>
            <w:tcW w:w="2520" w:type="dxa"/>
            <w:shd w:val="clear" w:color="auto" w:fill="DBCCE6"/>
            <w:tcMar/>
          </w:tcPr>
          <w:p w:rsidRPr="00701457" w:rsidR="005F5A31" w:rsidP="735FE81C" w:rsidRDefault="735FE81C" w14:paraId="7BA9C40E" w14:textId="700C5868">
            <w:pPr>
              <w:rPr>
                <w:rFonts w:ascii="Arial" w:hAnsi="Arial" w:eastAsia="Arial" w:cs="Arial"/>
                <w:sz w:val="18"/>
                <w:szCs w:val="18"/>
              </w:rPr>
            </w:pPr>
            <w:r w:rsidRPr="735FE81C">
              <w:rPr>
                <w:rFonts w:ascii="Arial" w:hAnsi="Arial" w:eastAsia="Arial" w:cs="Arial"/>
                <w:sz w:val="18"/>
                <w:szCs w:val="18"/>
              </w:rPr>
              <w:t>Reading and discussion took about 3 hours per week, and we met for 15 weeks.</w:t>
            </w:r>
          </w:p>
        </w:tc>
        <w:tc>
          <w:tcPr>
            <w:tcW w:w="1907" w:type="dxa"/>
            <w:shd w:val="clear" w:color="auto" w:fill="DBCCE6"/>
            <w:tcMar/>
          </w:tcPr>
          <w:p w:rsidRPr="00701457" w:rsidR="005F5A31" w:rsidP="735FE81C" w:rsidRDefault="735FE81C" w14:paraId="3AD359BA" w14:textId="24A88C43">
            <w:pPr>
              <w:rPr>
                <w:rFonts w:ascii="Arial" w:hAnsi="Arial" w:eastAsia="Arial" w:cs="Arial"/>
                <w:sz w:val="18"/>
                <w:szCs w:val="18"/>
              </w:rPr>
            </w:pPr>
            <w:r w:rsidRPr="735FE81C">
              <w:rPr>
                <w:rFonts w:ascii="Arial" w:hAnsi="Arial" w:eastAsia="Arial" w:cs="Arial"/>
                <w:sz w:val="18"/>
                <w:szCs w:val="18"/>
              </w:rPr>
              <w:t xml:space="preserve">Typically, a small group (8-10 people) </w:t>
            </w:r>
          </w:p>
        </w:tc>
        <w:tc>
          <w:tcPr>
            <w:tcW w:w="1743" w:type="dxa"/>
            <w:shd w:val="clear" w:color="auto" w:fill="DBCCE6"/>
            <w:tcMar/>
          </w:tcPr>
          <w:p w:rsidRPr="00773A0B" w:rsidR="005F5A31" w:rsidP="735FE81C" w:rsidRDefault="735FE81C" w14:paraId="59260C29" w14:textId="0C403D63">
            <w:pPr>
              <w:pStyle w:val="ListParagraph"/>
              <w:numPr>
                <w:ilvl w:val="0"/>
                <w:numId w:val="4"/>
              </w:numPr>
              <w:rPr>
                <w:rFonts w:ascii="Arial" w:hAnsi="Arial" w:eastAsia="Arial" w:cs="Arial"/>
                <w:sz w:val="18"/>
                <w:szCs w:val="18"/>
              </w:rPr>
            </w:pPr>
            <w:r w:rsidRPr="735FE81C">
              <w:rPr>
                <w:rFonts w:ascii="Arial" w:hAnsi="Arial" w:eastAsia="Arial" w:cs="Arial"/>
                <w:sz w:val="18"/>
                <w:szCs w:val="18"/>
              </w:rPr>
              <w:t>Syllabus with readings and discussion questions</w:t>
            </w:r>
          </w:p>
        </w:tc>
      </w:tr>
      <w:tr w:rsidRPr="000965BE" w:rsidR="00D819D3" w:rsidTr="6D014AC3" w14:paraId="259D96D3" w14:textId="77777777">
        <w:trPr>
          <w:trHeight w:val="22"/>
        </w:trPr>
        <w:tc>
          <w:tcPr>
            <w:tcW w:w="2145" w:type="dxa"/>
            <w:shd w:val="clear" w:color="auto" w:fill="FFFFFF" w:themeFill="background1"/>
            <w:tcMar/>
          </w:tcPr>
          <w:p w:rsidR="00D819D3" w:rsidP="735FE81C" w:rsidRDefault="735FE81C" w14:paraId="62D5531D" w14:textId="77777777">
            <w:pPr>
              <w:rPr>
                <w:rFonts w:ascii="Arial" w:hAnsi="Arial" w:eastAsia="Arial" w:cs="Arial"/>
                <w:b/>
                <w:bCs/>
                <w:sz w:val="20"/>
                <w:szCs w:val="20"/>
              </w:rPr>
            </w:pPr>
            <w:r w:rsidRPr="735FE81C">
              <w:rPr>
                <w:rFonts w:ascii="Arial" w:hAnsi="Arial" w:eastAsia="Arial" w:cs="Arial"/>
                <w:b/>
                <w:bCs/>
                <w:sz w:val="20"/>
                <w:szCs w:val="20"/>
              </w:rPr>
              <w:t>Evidence-Informed Programming Canvas Course</w:t>
            </w:r>
          </w:p>
          <w:p w:rsidR="00D819D3" w:rsidP="735FE81C" w:rsidRDefault="00D819D3" w14:paraId="39CC452C" w14:textId="77777777">
            <w:pPr>
              <w:rPr>
                <w:rFonts w:ascii="Arial" w:hAnsi="Arial" w:eastAsia="Arial" w:cs="Arial"/>
                <w:b/>
                <w:bCs/>
                <w:sz w:val="20"/>
                <w:szCs w:val="20"/>
              </w:rPr>
            </w:pPr>
          </w:p>
        </w:tc>
        <w:tc>
          <w:tcPr>
            <w:tcW w:w="2070" w:type="dxa"/>
            <w:shd w:val="clear" w:color="auto" w:fill="FFFFFF" w:themeFill="background1"/>
            <w:tcMar/>
          </w:tcPr>
          <w:p w:rsidR="00D819D3" w:rsidP="735FE81C" w:rsidRDefault="004F0182" w14:paraId="06291FE8" w14:textId="658D33EC">
            <w:pPr>
              <w:rPr>
                <w:rFonts w:ascii="Arial" w:hAnsi="Arial" w:eastAsia="Arial" w:cs="Arial"/>
                <w:sz w:val="18"/>
                <w:szCs w:val="18"/>
              </w:rPr>
            </w:pPr>
            <w:r>
              <w:rPr>
                <w:rFonts w:ascii="Arial" w:hAnsi="Arial" w:eastAsia="Arial" w:cs="Arial"/>
                <w:sz w:val="18"/>
                <w:szCs w:val="18"/>
              </w:rPr>
              <w:t>Four</w:t>
            </w:r>
            <w:r w:rsidRPr="735FE81C" w:rsidR="735FE81C">
              <w:rPr>
                <w:rFonts w:ascii="Arial" w:hAnsi="Arial" w:eastAsia="Arial" w:cs="Arial"/>
                <w:sz w:val="18"/>
                <w:szCs w:val="18"/>
              </w:rPr>
              <w:t xml:space="preserve"> modules </w:t>
            </w:r>
            <w:r w:rsidR="00C42DA1">
              <w:rPr>
                <w:rFonts w:ascii="Arial" w:hAnsi="Arial" w:eastAsia="Arial" w:cs="Arial"/>
                <w:sz w:val="18"/>
                <w:szCs w:val="18"/>
              </w:rPr>
              <w:t xml:space="preserve">and a Capstone </w:t>
            </w:r>
            <w:r w:rsidRPr="735FE81C" w:rsidR="735FE81C">
              <w:rPr>
                <w:rFonts w:ascii="Arial" w:hAnsi="Arial" w:eastAsia="Arial" w:cs="Arial"/>
                <w:sz w:val="18"/>
                <w:szCs w:val="18"/>
              </w:rPr>
              <w:t xml:space="preserve">that introduce and build skills in the domains of program theory, where to find “best available evidence,” how to evaluate evidence/scholarship, how the utility of outcomes assessment is enhanced if scholarship is infused into practice. </w:t>
            </w:r>
          </w:p>
          <w:p w:rsidRPr="000B40B1" w:rsidR="00D819D3" w:rsidP="735FE81C" w:rsidRDefault="00D819D3" w14:paraId="6C867B41" w14:textId="77777777">
            <w:pPr>
              <w:rPr>
                <w:rFonts w:ascii="Arial" w:hAnsi="Arial" w:eastAsia="Arial" w:cs="Arial"/>
                <w:sz w:val="18"/>
                <w:szCs w:val="18"/>
              </w:rPr>
            </w:pPr>
          </w:p>
        </w:tc>
        <w:tc>
          <w:tcPr>
            <w:tcW w:w="1455" w:type="dxa"/>
            <w:gridSpan w:val="2"/>
            <w:shd w:val="clear" w:color="auto" w:fill="FFFFFF" w:themeFill="background1"/>
            <w:tcMar/>
          </w:tcPr>
          <w:p w:rsidRPr="2B5D7ADF" w:rsidR="00D819D3" w:rsidP="735FE81C" w:rsidRDefault="00FE72A1" w14:paraId="7E335762" w14:textId="5447D178">
            <w:pPr>
              <w:jc w:val="center"/>
              <w:rPr>
                <w:rFonts w:ascii="Arial" w:hAnsi="Arial" w:eastAsia="Arial" w:cs="Arial"/>
                <w:sz w:val="18"/>
                <w:szCs w:val="18"/>
              </w:rPr>
            </w:pPr>
            <w:r w:rsidRPr="05C03114" w:rsidR="05C03114">
              <w:rPr>
                <w:rFonts w:ascii="Arial" w:hAnsi="Arial" w:eastAsia="Arial" w:cs="Arial"/>
                <w:sz w:val="18"/>
                <w:szCs w:val="18"/>
              </w:rPr>
              <w:t>Competent</w:t>
            </w:r>
          </w:p>
        </w:tc>
        <w:tc>
          <w:tcPr>
            <w:tcW w:w="2555" w:type="dxa"/>
            <w:shd w:val="clear" w:color="auto" w:fill="FFFFFF" w:themeFill="background1"/>
            <w:tcMar/>
          </w:tcPr>
          <w:p w:rsidR="00D819D3" w:rsidP="735FE81C" w:rsidRDefault="735FE81C" w14:paraId="0963CB0B" w14:textId="77777777">
            <w:pPr>
              <w:rPr>
                <w:rFonts w:ascii="Arial" w:hAnsi="Arial" w:eastAsia="Arial" w:cs="Arial"/>
                <w:sz w:val="18"/>
                <w:szCs w:val="18"/>
              </w:rPr>
            </w:pPr>
            <w:r w:rsidRPr="735FE81C">
              <w:rPr>
                <w:rFonts w:ascii="Arial" w:hAnsi="Arial" w:eastAsia="Arial" w:cs="Arial"/>
                <w:sz w:val="18"/>
                <w:szCs w:val="18"/>
              </w:rPr>
              <w:t>-Accurately &amp; persuasively communicate the value of evidence when creating or revising programming</w:t>
            </w:r>
          </w:p>
          <w:p w:rsidR="00D819D3" w:rsidP="735FE81C" w:rsidRDefault="735FE81C" w14:paraId="54711A7E" w14:textId="77777777">
            <w:pPr>
              <w:rPr>
                <w:rFonts w:ascii="Arial" w:hAnsi="Arial" w:eastAsia="Arial" w:cs="Arial"/>
                <w:sz w:val="18"/>
                <w:szCs w:val="18"/>
              </w:rPr>
            </w:pPr>
            <w:r w:rsidRPr="735FE81C">
              <w:rPr>
                <w:rFonts w:ascii="Arial" w:hAnsi="Arial" w:eastAsia="Arial" w:cs="Arial"/>
                <w:sz w:val="18"/>
                <w:szCs w:val="18"/>
              </w:rPr>
              <w:t>-Identify sources of credible evidence</w:t>
            </w:r>
          </w:p>
          <w:p w:rsidR="00D819D3" w:rsidP="735FE81C" w:rsidRDefault="735FE81C" w14:paraId="12124824" w14:textId="77777777">
            <w:pPr>
              <w:rPr>
                <w:rFonts w:ascii="Arial" w:hAnsi="Arial" w:eastAsia="Arial" w:cs="Arial"/>
                <w:sz w:val="18"/>
                <w:szCs w:val="18"/>
              </w:rPr>
            </w:pPr>
            <w:r w:rsidRPr="735FE81C">
              <w:rPr>
                <w:rFonts w:ascii="Arial" w:hAnsi="Arial" w:eastAsia="Arial" w:cs="Arial"/>
                <w:sz w:val="18"/>
                <w:szCs w:val="18"/>
              </w:rPr>
              <w:t>-Evaluate the quality of evidence and claims regarding effectiveness</w:t>
            </w:r>
          </w:p>
          <w:p w:rsidR="00D819D3" w:rsidP="735FE81C" w:rsidRDefault="735FE81C" w14:paraId="626643ED" w14:textId="77777777">
            <w:pPr>
              <w:rPr>
                <w:rFonts w:ascii="Arial" w:hAnsi="Arial" w:eastAsia="Arial" w:cs="Arial"/>
                <w:sz w:val="18"/>
                <w:szCs w:val="18"/>
              </w:rPr>
            </w:pPr>
            <w:r w:rsidRPr="735FE81C">
              <w:rPr>
                <w:rFonts w:ascii="Arial" w:hAnsi="Arial" w:eastAsia="Arial" w:cs="Arial"/>
                <w:sz w:val="18"/>
                <w:szCs w:val="18"/>
              </w:rPr>
              <w:t xml:space="preserve">-Explain how infusing scholarship into </w:t>
            </w:r>
            <w:r w:rsidRPr="735FE81C">
              <w:rPr>
                <w:rFonts w:ascii="Arial" w:hAnsi="Arial" w:eastAsia="Arial" w:cs="Arial"/>
                <w:sz w:val="18"/>
                <w:szCs w:val="18"/>
              </w:rPr>
              <w:lastRenderedPageBreak/>
              <w:t>practice can enhance outcomes assessment</w:t>
            </w:r>
          </w:p>
          <w:p w:rsidRPr="2B5D7ADF" w:rsidR="00D819D3" w:rsidP="05C03114" w:rsidRDefault="00D819D3" w14:paraId="35CD0DD3" w14:textId="3C6C0526">
            <w:pPr>
              <w:rPr>
                <w:rFonts w:ascii="Arial" w:hAnsi="Arial" w:eastAsia="Arial" w:cs="Arial"/>
                <w:sz w:val="18"/>
                <w:szCs w:val="18"/>
              </w:rPr>
            </w:pPr>
            <w:r w:rsidRPr="05C03114" w:rsidR="05C03114">
              <w:rPr>
                <w:rFonts w:ascii="Arial" w:hAnsi="Arial" w:eastAsia="Arial" w:cs="Arial"/>
                <w:sz w:val="18"/>
                <w:szCs w:val="18"/>
              </w:rPr>
              <w:t>-Create four products that showcase the ability to understand if evidence is credible or not and showcase skills in engaging in evidence-informed programming</w:t>
            </w:r>
          </w:p>
          <w:p w:rsidRPr="2B5D7ADF" w:rsidR="00D819D3" w:rsidP="05C03114" w:rsidRDefault="00D819D3" w14:paraId="65695468" w14:textId="78928353">
            <w:pPr>
              <w:pStyle w:val="Normal"/>
              <w:rPr>
                <w:rFonts w:ascii="Arial" w:hAnsi="Arial" w:eastAsia="Arial" w:cs="Arial"/>
                <w:sz w:val="18"/>
                <w:szCs w:val="18"/>
              </w:rPr>
            </w:pPr>
          </w:p>
          <w:p w:rsidRPr="2B5D7ADF" w:rsidR="00D819D3" w:rsidP="05C03114" w:rsidRDefault="00D819D3" w14:paraId="12AC44AA" w14:textId="344C65E6">
            <w:pPr>
              <w:pStyle w:val="Normal"/>
              <w:rPr>
                <w:rFonts w:ascii="Arial" w:hAnsi="Arial" w:eastAsia="Arial" w:cs="Arial"/>
                <w:sz w:val="18"/>
                <w:szCs w:val="18"/>
              </w:rPr>
            </w:pPr>
          </w:p>
        </w:tc>
        <w:tc>
          <w:tcPr>
            <w:tcW w:w="2520" w:type="dxa"/>
            <w:shd w:val="clear" w:color="auto" w:fill="FFFFFF" w:themeFill="background1"/>
            <w:tcMar/>
          </w:tcPr>
          <w:p w:rsidRPr="000B40B1" w:rsidR="00D819D3" w:rsidP="735FE81C" w:rsidRDefault="735FE81C" w14:paraId="75D2DD2F" w14:textId="0848B371">
            <w:pPr>
              <w:rPr>
                <w:rFonts w:ascii="Arial" w:hAnsi="Arial" w:eastAsia="Arial" w:cs="Arial"/>
                <w:sz w:val="18"/>
                <w:szCs w:val="18"/>
              </w:rPr>
            </w:pPr>
            <w:r w:rsidRPr="735FE81C">
              <w:rPr>
                <w:rFonts w:ascii="Arial" w:hAnsi="Arial" w:eastAsia="Arial" w:cs="Arial"/>
                <w:sz w:val="18"/>
                <w:szCs w:val="18"/>
              </w:rPr>
              <w:lastRenderedPageBreak/>
              <w:t>Four to eight weeks, three credit course</w:t>
            </w:r>
          </w:p>
        </w:tc>
        <w:tc>
          <w:tcPr>
            <w:tcW w:w="1907" w:type="dxa"/>
            <w:shd w:val="clear" w:color="auto" w:fill="FFFFFF" w:themeFill="background1"/>
            <w:tcMar/>
          </w:tcPr>
          <w:p w:rsidRPr="000B40B1" w:rsidR="00D819D3" w:rsidP="735FE81C" w:rsidRDefault="735FE81C" w14:paraId="357C5374" w14:textId="6818AF72">
            <w:pPr>
              <w:rPr>
                <w:rFonts w:ascii="Arial" w:hAnsi="Arial" w:eastAsia="Arial" w:cs="Arial"/>
                <w:sz w:val="18"/>
                <w:szCs w:val="18"/>
              </w:rPr>
            </w:pPr>
            <w:r w:rsidRPr="735FE81C">
              <w:rPr>
                <w:rFonts w:ascii="Arial" w:hAnsi="Arial" w:eastAsia="Arial" w:cs="Arial"/>
                <w:sz w:val="18"/>
                <w:szCs w:val="18"/>
              </w:rPr>
              <w:t>Available to the whole division in addition to masters-level students in CSPA.</w:t>
            </w:r>
          </w:p>
        </w:tc>
        <w:tc>
          <w:tcPr>
            <w:tcW w:w="1743" w:type="dxa"/>
            <w:shd w:val="clear" w:color="auto" w:fill="FFFFFF" w:themeFill="background1"/>
            <w:tcMar/>
          </w:tcPr>
          <w:p w:rsidRPr="0049206D" w:rsidR="00D819D3" w:rsidP="735FE81C" w:rsidRDefault="735FE81C" w14:paraId="160F8780" w14:textId="77777777">
            <w:pPr>
              <w:pStyle w:val="ListParagraph"/>
              <w:numPr>
                <w:ilvl w:val="0"/>
                <w:numId w:val="1"/>
              </w:numPr>
              <w:rPr>
                <w:rFonts w:ascii="Arial" w:hAnsi="Arial" w:eastAsia="Arial" w:cs="Arial"/>
                <w:sz w:val="18"/>
                <w:szCs w:val="18"/>
              </w:rPr>
            </w:pPr>
            <w:r w:rsidRPr="735FE81C">
              <w:rPr>
                <w:rFonts w:ascii="Arial" w:hAnsi="Arial" w:eastAsia="Arial" w:cs="Arial"/>
                <w:sz w:val="18"/>
                <w:szCs w:val="18"/>
              </w:rPr>
              <w:t>Syllabus</w:t>
            </w:r>
          </w:p>
          <w:p w:rsidRPr="0049206D" w:rsidR="00D819D3" w:rsidP="735FE81C" w:rsidRDefault="735FE81C" w14:paraId="6CCE003B" w14:textId="77777777">
            <w:pPr>
              <w:pStyle w:val="ListParagraph"/>
              <w:numPr>
                <w:ilvl w:val="0"/>
                <w:numId w:val="1"/>
              </w:numPr>
              <w:rPr>
                <w:rFonts w:ascii="Arial" w:hAnsi="Arial" w:eastAsia="Arial" w:cs="Arial"/>
                <w:sz w:val="18"/>
                <w:szCs w:val="18"/>
              </w:rPr>
            </w:pPr>
            <w:r w:rsidRPr="735FE81C">
              <w:rPr>
                <w:rFonts w:ascii="Arial" w:hAnsi="Arial" w:eastAsia="Arial" w:cs="Arial"/>
                <w:sz w:val="18"/>
                <w:szCs w:val="18"/>
              </w:rPr>
              <w:t>Reading questions</w:t>
            </w:r>
          </w:p>
          <w:p w:rsidRPr="0049206D" w:rsidR="00D819D3" w:rsidP="735FE81C" w:rsidRDefault="735FE81C" w14:paraId="35EBC342" w14:textId="77777777">
            <w:pPr>
              <w:pStyle w:val="ListParagraph"/>
              <w:numPr>
                <w:ilvl w:val="0"/>
                <w:numId w:val="1"/>
              </w:numPr>
              <w:rPr>
                <w:rFonts w:ascii="Arial" w:hAnsi="Arial" w:eastAsia="Arial" w:cs="Arial"/>
                <w:sz w:val="18"/>
                <w:szCs w:val="18"/>
              </w:rPr>
            </w:pPr>
            <w:r w:rsidRPr="735FE81C">
              <w:rPr>
                <w:rFonts w:ascii="Arial" w:hAnsi="Arial" w:eastAsia="Arial" w:cs="Arial"/>
                <w:sz w:val="18"/>
                <w:szCs w:val="18"/>
              </w:rPr>
              <w:t>PowerPoints</w:t>
            </w:r>
          </w:p>
          <w:p w:rsidRPr="0049206D" w:rsidR="00D819D3" w:rsidP="735FE81C" w:rsidRDefault="735FE81C" w14:paraId="30AE7D24" w14:textId="77777777">
            <w:pPr>
              <w:pStyle w:val="ListParagraph"/>
              <w:numPr>
                <w:ilvl w:val="0"/>
                <w:numId w:val="1"/>
              </w:numPr>
              <w:rPr>
                <w:rFonts w:ascii="Arial" w:hAnsi="Arial" w:eastAsia="Arial" w:cs="Arial"/>
                <w:sz w:val="18"/>
                <w:szCs w:val="18"/>
              </w:rPr>
            </w:pPr>
            <w:r w:rsidRPr="735FE81C">
              <w:rPr>
                <w:rFonts w:ascii="Arial" w:hAnsi="Arial" w:eastAsia="Arial" w:cs="Arial"/>
                <w:sz w:val="18"/>
                <w:szCs w:val="18"/>
              </w:rPr>
              <w:t>Videos</w:t>
            </w:r>
          </w:p>
          <w:p w:rsidRPr="0049206D" w:rsidR="00D819D3" w:rsidP="735FE81C" w:rsidRDefault="735FE81C" w14:paraId="7D9A5AE2" w14:textId="31039077">
            <w:pPr>
              <w:pStyle w:val="ListParagraph"/>
              <w:numPr>
                <w:ilvl w:val="0"/>
                <w:numId w:val="4"/>
              </w:numPr>
              <w:rPr>
                <w:rFonts w:ascii="Arial" w:hAnsi="Arial" w:eastAsia="Arial" w:cs="Arial"/>
                <w:sz w:val="18"/>
                <w:szCs w:val="18"/>
              </w:rPr>
            </w:pPr>
            <w:r w:rsidRPr="735FE81C">
              <w:rPr>
                <w:rFonts w:ascii="Arial" w:hAnsi="Arial" w:eastAsia="Arial" w:cs="Arial"/>
                <w:sz w:val="18"/>
                <w:szCs w:val="18"/>
              </w:rPr>
              <w:t>Homework</w:t>
            </w:r>
          </w:p>
        </w:tc>
      </w:tr>
      <w:tr w:rsidRPr="000965BE" w:rsidR="007023BF" w:rsidTr="6D014AC3" w14:paraId="251D8BC6" w14:textId="77777777">
        <w:trPr>
          <w:trHeight w:val="626"/>
        </w:trPr>
        <w:tc>
          <w:tcPr>
            <w:tcW w:w="2145" w:type="dxa"/>
            <w:vMerge w:val="restart"/>
            <w:shd w:val="clear" w:color="auto" w:fill="DBCCE6"/>
            <w:tcMar/>
          </w:tcPr>
          <w:p w:rsidRPr="00014607" w:rsidR="007023BF" w:rsidP="007023BF" w:rsidRDefault="007023BF" w14:paraId="351083F8" w14:textId="7720E870">
            <w:pPr>
              <w:rPr>
                <w:rFonts w:ascii="Arial" w:hAnsi="Arial" w:eastAsia="Arial" w:cs="Arial"/>
                <w:sz w:val="18"/>
                <w:szCs w:val="18"/>
              </w:rPr>
            </w:pPr>
            <w:r w:rsidRPr="735FE81C">
              <w:rPr>
                <w:rFonts w:ascii="Arial" w:hAnsi="Arial" w:eastAsia="Arial" w:cs="Arial"/>
                <w:b/>
                <w:bCs/>
                <w:sz w:val="20"/>
                <w:szCs w:val="20"/>
              </w:rPr>
              <w:t>Curricular Approach to Programming</w:t>
            </w:r>
            <w:r w:rsidRPr="735FE81C">
              <w:rPr>
                <w:rFonts w:ascii="Arial" w:hAnsi="Arial" w:eastAsia="Arial" w:cs="Arial"/>
                <w:sz w:val="18"/>
                <w:szCs w:val="18"/>
              </w:rPr>
              <w:t xml:space="preserve"> </w:t>
            </w:r>
          </w:p>
          <w:p w:rsidRPr="00014607" w:rsidR="007023BF" w:rsidP="007023BF" w:rsidRDefault="007023BF" w14:paraId="0DF3233D" w14:textId="06F8BE03">
            <w:pPr>
              <w:rPr>
                <w:rFonts w:ascii="Arial" w:hAnsi="Arial" w:eastAsia="Arial" w:cs="Arial"/>
                <w:sz w:val="18"/>
                <w:szCs w:val="18"/>
              </w:rPr>
            </w:pPr>
          </w:p>
          <w:p w:rsidRPr="00014607" w:rsidR="007023BF" w:rsidP="007023BF" w:rsidRDefault="007023BF" w14:paraId="09B480C9" w14:textId="67500261">
            <w:pPr>
              <w:rPr>
                <w:rFonts w:ascii="Arial" w:hAnsi="Arial" w:eastAsia="Arial" w:cs="Arial"/>
                <w:sz w:val="18"/>
                <w:szCs w:val="18"/>
              </w:rPr>
            </w:pPr>
            <w:r w:rsidRPr="735FE81C">
              <w:rPr>
                <w:rFonts w:ascii="Arial" w:hAnsi="Arial" w:eastAsia="Arial" w:cs="Arial"/>
                <w:sz w:val="18"/>
                <w:szCs w:val="18"/>
              </w:rPr>
              <w:t>Professional development opportunities include:</w:t>
            </w:r>
          </w:p>
          <w:p w:rsidRPr="00014607" w:rsidR="007023BF" w:rsidP="007023BF" w:rsidRDefault="007023BF" w14:paraId="47122AF7" w14:textId="3F721005">
            <w:pPr>
              <w:rPr>
                <w:rFonts w:ascii="Arial" w:hAnsi="Arial" w:eastAsia="Arial" w:cs="Arial"/>
                <w:sz w:val="18"/>
                <w:szCs w:val="18"/>
              </w:rPr>
            </w:pPr>
          </w:p>
          <w:p w:rsidR="008145A2" w:rsidP="007023BF" w:rsidRDefault="007023BF" w14:paraId="2F62E5D8" w14:textId="51D266E0">
            <w:pPr>
              <w:rPr>
                <w:rFonts w:ascii="Arial" w:hAnsi="Arial" w:eastAsia="Arial" w:cs="Arial"/>
                <w:sz w:val="18"/>
                <w:szCs w:val="18"/>
              </w:rPr>
            </w:pPr>
            <w:r w:rsidRPr="735FE81C">
              <w:rPr>
                <w:rFonts w:ascii="Arial" w:hAnsi="Arial" w:eastAsia="Arial" w:cs="Arial"/>
                <w:sz w:val="18"/>
                <w:szCs w:val="18"/>
              </w:rPr>
              <w:t>1.</w:t>
            </w:r>
            <w:r w:rsidRPr="735FE81C" w:rsidR="008145A2">
              <w:rPr>
                <w:rFonts w:ascii="Arial" w:hAnsi="Arial" w:eastAsia="Arial" w:cs="Arial"/>
                <w:sz w:val="18"/>
                <w:szCs w:val="18"/>
              </w:rPr>
              <w:t>“The Curricular Approach to Student Affairs” Reading and Discussion Group.</w:t>
            </w:r>
          </w:p>
          <w:p w:rsidR="008145A2" w:rsidP="007023BF" w:rsidRDefault="008145A2" w14:paraId="0D8D568F" w14:textId="77777777">
            <w:pPr>
              <w:rPr>
                <w:rFonts w:ascii="Arial" w:hAnsi="Arial" w:eastAsia="Arial" w:cs="Arial"/>
                <w:sz w:val="18"/>
                <w:szCs w:val="18"/>
              </w:rPr>
            </w:pPr>
          </w:p>
          <w:p w:rsidR="00E92E3C" w:rsidP="007023BF" w:rsidRDefault="008145A2" w14:paraId="0824D990" w14:textId="3210C885">
            <w:pPr>
              <w:rPr>
                <w:rFonts w:ascii="Arial" w:hAnsi="Arial" w:eastAsia="Arial" w:cs="Arial"/>
                <w:sz w:val="18"/>
                <w:szCs w:val="18"/>
              </w:rPr>
            </w:pPr>
            <w:r>
              <w:rPr>
                <w:rFonts w:ascii="Arial" w:hAnsi="Arial" w:eastAsia="Arial" w:cs="Arial"/>
                <w:sz w:val="18"/>
                <w:szCs w:val="18"/>
              </w:rPr>
              <w:t xml:space="preserve">2. </w:t>
            </w:r>
            <w:r w:rsidR="00E92E3C">
              <w:rPr>
                <w:rFonts w:ascii="Arial" w:hAnsi="Arial" w:eastAsia="Arial" w:cs="Arial"/>
                <w:sz w:val="18"/>
                <w:szCs w:val="18"/>
              </w:rPr>
              <w:t>Working with EIP Specialist</w:t>
            </w:r>
          </w:p>
          <w:p w:rsidR="00E92E3C" w:rsidP="007023BF" w:rsidRDefault="00E92E3C" w14:paraId="0DCD9D3D" w14:textId="77777777">
            <w:pPr>
              <w:rPr>
                <w:rFonts w:ascii="Arial" w:hAnsi="Arial" w:eastAsia="Arial" w:cs="Arial"/>
                <w:sz w:val="18"/>
                <w:szCs w:val="18"/>
              </w:rPr>
            </w:pPr>
          </w:p>
          <w:p w:rsidR="007023BF" w:rsidP="007023BF" w:rsidRDefault="00E92E3C" w14:paraId="1FEA5B7F" w14:textId="41943372">
            <w:pPr>
              <w:rPr>
                <w:rFonts w:ascii="Arial" w:hAnsi="Arial" w:eastAsia="Arial" w:cs="Arial"/>
                <w:sz w:val="18"/>
                <w:szCs w:val="18"/>
              </w:rPr>
            </w:pPr>
            <w:r>
              <w:rPr>
                <w:rFonts w:ascii="Arial" w:hAnsi="Arial" w:eastAsia="Arial" w:cs="Arial"/>
                <w:sz w:val="18"/>
                <w:szCs w:val="18"/>
              </w:rPr>
              <w:t xml:space="preserve">3. </w:t>
            </w:r>
            <w:r w:rsidRPr="735FE81C" w:rsidR="007023BF">
              <w:rPr>
                <w:rFonts w:ascii="Arial" w:hAnsi="Arial" w:eastAsia="Arial" w:cs="Arial"/>
                <w:sz w:val="18"/>
                <w:szCs w:val="18"/>
              </w:rPr>
              <w:t>Monthly professional development series</w:t>
            </w:r>
          </w:p>
          <w:p w:rsidR="007023BF" w:rsidP="007023BF" w:rsidRDefault="007023BF" w14:paraId="23B99833" w14:textId="77777777">
            <w:pPr>
              <w:rPr>
                <w:rFonts w:ascii="Arial" w:hAnsi="Arial" w:eastAsia="Arial" w:cs="Arial"/>
                <w:sz w:val="18"/>
                <w:szCs w:val="18"/>
              </w:rPr>
            </w:pPr>
          </w:p>
          <w:p w:rsidRPr="00014607" w:rsidR="007023BF" w:rsidP="007023BF" w:rsidRDefault="00E92E3C" w14:paraId="75B56B61" w14:textId="5B64E26C">
            <w:pPr>
              <w:rPr>
                <w:rFonts w:ascii="Arial" w:hAnsi="Arial" w:eastAsia="Arial" w:cs="Arial"/>
                <w:sz w:val="18"/>
                <w:szCs w:val="18"/>
              </w:rPr>
            </w:pPr>
            <w:r>
              <w:rPr>
                <w:rFonts w:ascii="Arial" w:hAnsi="Arial" w:eastAsia="Arial" w:cs="Arial"/>
                <w:sz w:val="18"/>
                <w:szCs w:val="18"/>
              </w:rPr>
              <w:t>4</w:t>
            </w:r>
            <w:r w:rsidRPr="735FE81C" w:rsidR="007023BF">
              <w:rPr>
                <w:rFonts w:ascii="Arial" w:hAnsi="Arial" w:eastAsia="Arial" w:cs="Arial"/>
                <w:sz w:val="18"/>
                <w:szCs w:val="18"/>
              </w:rPr>
              <w:t>.</w:t>
            </w:r>
            <w:r w:rsidR="008145A2">
              <w:rPr>
                <w:rFonts w:ascii="Arial" w:hAnsi="Arial" w:eastAsia="Arial" w:cs="Arial"/>
                <w:sz w:val="18"/>
                <w:szCs w:val="18"/>
              </w:rPr>
              <w:t xml:space="preserve"> </w:t>
            </w:r>
            <w:r w:rsidRPr="735FE81C" w:rsidR="007023BF">
              <w:rPr>
                <w:rFonts w:ascii="Arial" w:hAnsi="Arial" w:eastAsia="Arial" w:cs="Arial"/>
                <w:sz w:val="18"/>
                <w:szCs w:val="18"/>
              </w:rPr>
              <w:t>Semester-long consultations with departments within the Division of Student Affairs</w:t>
            </w:r>
          </w:p>
          <w:p w:rsidRPr="00014607" w:rsidR="007023BF" w:rsidP="007023BF" w:rsidRDefault="007023BF" w14:paraId="360E8844" w14:textId="003FA95B">
            <w:pPr>
              <w:rPr>
                <w:rFonts w:ascii="Arial" w:hAnsi="Arial" w:eastAsia="Arial" w:cs="Arial"/>
                <w:sz w:val="18"/>
                <w:szCs w:val="18"/>
              </w:rPr>
            </w:pPr>
          </w:p>
          <w:p w:rsidRPr="00014607" w:rsidR="007023BF" w:rsidP="007023BF" w:rsidRDefault="007023BF" w14:paraId="5AF788E5" w14:textId="1D538AD2">
            <w:pPr>
              <w:rPr>
                <w:rFonts w:ascii="Arial" w:hAnsi="Arial" w:eastAsia="Arial" w:cs="Arial"/>
                <w:sz w:val="18"/>
                <w:szCs w:val="18"/>
              </w:rPr>
            </w:pPr>
          </w:p>
        </w:tc>
        <w:tc>
          <w:tcPr>
            <w:tcW w:w="2070" w:type="dxa"/>
            <w:vMerge w:val="restart"/>
            <w:shd w:val="clear" w:color="auto" w:fill="DBCCE6"/>
            <w:tcMar/>
          </w:tcPr>
          <w:p w:rsidRPr="00775D0D" w:rsidR="007023BF" w:rsidP="007023BF" w:rsidRDefault="007023BF" w14:paraId="4B1A9254" w14:textId="716E8B07">
            <w:pPr>
              <w:rPr>
                <w:rFonts w:ascii="Arial" w:hAnsi="Arial" w:eastAsia="Arial" w:cs="Arial"/>
                <w:sz w:val="18"/>
                <w:szCs w:val="18"/>
              </w:rPr>
            </w:pPr>
            <w:r w:rsidRPr="735FE81C">
              <w:rPr>
                <w:rFonts w:ascii="Arial" w:hAnsi="Arial" w:eastAsia="Arial" w:cs="Arial"/>
                <w:sz w:val="18"/>
                <w:szCs w:val="18"/>
              </w:rPr>
              <w:t>Creation of a Curricular Approach Task Force to lead professional development opportunities that aid staff in engaging with and understanding the importance of the Curricular Approach Process. Involved three professional development experiences available for anyone in the Division of Student Affairs to attend.</w:t>
            </w:r>
          </w:p>
        </w:tc>
        <w:tc>
          <w:tcPr>
            <w:tcW w:w="345" w:type="dxa"/>
            <w:tcBorders>
              <w:right w:val="none" w:color="000000" w:themeColor="text1" w:sz="4"/>
            </w:tcBorders>
            <w:shd w:val="clear" w:color="auto" w:fill="DBCCE6"/>
            <w:tcMar/>
            <w:vAlign w:val="top"/>
          </w:tcPr>
          <w:p w:rsidR="007023BF" w:rsidP="05C03114" w:rsidRDefault="007023BF" w14:paraId="46B84AB9" w14:textId="760C2BA7">
            <w:pPr>
              <w:jc w:val="center"/>
              <w:rPr>
                <w:rFonts w:ascii="Arial" w:hAnsi="Arial" w:eastAsia="Arial" w:cs="Arial"/>
                <w:sz w:val="24"/>
                <w:szCs w:val="24"/>
              </w:rPr>
            </w:pPr>
            <w:r w:rsidRPr="05C03114" w:rsidR="05C03114">
              <w:rPr>
                <w:rFonts w:ascii="Arial" w:hAnsi="Arial" w:eastAsia="Arial" w:cs="Arial"/>
              </w:rPr>
              <w:t>1</w:t>
            </w:r>
          </w:p>
        </w:tc>
        <w:tc>
          <w:tcPr>
            <w:tcW w:w="1110" w:type="dxa"/>
            <w:tcBorders>
              <w:left w:val="none" w:color="000000" w:themeColor="text1" w:sz="4"/>
            </w:tcBorders>
            <w:shd w:val="clear" w:color="auto" w:fill="DBCCE6"/>
            <w:tcMar/>
            <w:vAlign w:val="top"/>
          </w:tcPr>
          <w:p w:rsidR="05C03114" w:rsidP="05C03114" w:rsidRDefault="05C03114" w14:paraId="340F943E" w14:textId="03EDA68B">
            <w:pPr>
              <w:pStyle w:val="Normal"/>
              <w:jc w:val="center"/>
              <w:rPr>
                <w:rFonts w:ascii="Arial" w:hAnsi="Arial" w:eastAsia="Arial" w:cs="Arial"/>
                <w:sz w:val="18"/>
                <w:szCs w:val="18"/>
              </w:rPr>
            </w:pPr>
            <w:r w:rsidRPr="05C03114" w:rsidR="05C03114">
              <w:rPr>
                <w:rFonts w:ascii="Arial" w:hAnsi="Arial" w:eastAsia="Arial" w:cs="Arial"/>
                <w:sz w:val="18"/>
                <w:szCs w:val="18"/>
              </w:rPr>
              <w:t>Advanced Beginner</w:t>
            </w:r>
          </w:p>
        </w:tc>
        <w:tc>
          <w:tcPr>
            <w:tcW w:w="2555" w:type="dxa"/>
            <w:shd w:val="clear" w:color="auto" w:fill="DBCCE6"/>
            <w:tcMar/>
          </w:tcPr>
          <w:p w:rsidRPr="001B3CFB" w:rsidR="007023BF" w:rsidP="05C03114" w:rsidRDefault="007023BF" w14:paraId="2E6D2B0D" w14:textId="3FAD49F9">
            <w:pPr>
              <w:pStyle w:val="Normal"/>
              <w:bidi w:val="0"/>
              <w:spacing w:before="0" w:beforeAutospacing="off" w:after="0" w:afterAutospacing="off" w:line="259" w:lineRule="auto"/>
              <w:ind w:left="0" w:right="0"/>
              <w:jc w:val="left"/>
              <w:rPr>
                <w:rFonts w:ascii="Arial" w:hAnsi="Arial" w:eastAsia="Arial" w:cs="Arial"/>
                <w:color w:val="auto"/>
                <w:sz w:val="18"/>
                <w:szCs w:val="18"/>
              </w:rPr>
            </w:pPr>
            <w:r w:rsidRPr="05C03114" w:rsidR="05C03114">
              <w:rPr>
                <w:rFonts w:ascii="Arial" w:hAnsi="Arial" w:eastAsia="Arial" w:cs="Arial"/>
                <w:color w:val="auto"/>
                <w:sz w:val="18"/>
                <w:szCs w:val="18"/>
              </w:rPr>
              <w:t>-Describe key aspects of the Curricular Approach</w:t>
            </w:r>
          </w:p>
          <w:p w:rsidRPr="001B3CFB" w:rsidR="007023BF" w:rsidP="05C03114" w:rsidRDefault="007023BF" w14:paraId="3DB89278" w14:textId="31E13B0C">
            <w:pPr>
              <w:pStyle w:val="Normal"/>
              <w:bidi w:val="0"/>
              <w:spacing w:before="0" w:beforeAutospacing="off" w:after="0" w:afterAutospacing="off" w:line="259" w:lineRule="auto"/>
              <w:ind w:left="0" w:right="0"/>
              <w:jc w:val="left"/>
              <w:rPr>
                <w:rFonts w:ascii="Arial" w:hAnsi="Arial" w:eastAsia="Arial" w:cs="Arial"/>
                <w:color w:val="auto"/>
                <w:sz w:val="18"/>
                <w:szCs w:val="18"/>
              </w:rPr>
            </w:pPr>
            <w:r w:rsidRPr="05C03114" w:rsidR="05C03114">
              <w:rPr>
                <w:rFonts w:ascii="Arial" w:hAnsi="Arial" w:eastAsia="Arial" w:cs="Arial"/>
                <w:color w:val="auto"/>
                <w:sz w:val="18"/>
                <w:szCs w:val="18"/>
              </w:rPr>
              <w:t>-Recognize the value of using the Curricular Approach to Student Affairs in your office</w:t>
            </w:r>
          </w:p>
          <w:p w:rsidRPr="001B3CFB" w:rsidR="007023BF" w:rsidP="05C03114" w:rsidRDefault="007023BF" w14:paraId="03E8FB3D" w14:textId="3DDBB7B6">
            <w:pPr>
              <w:pStyle w:val="Normal"/>
              <w:bidi w:val="0"/>
              <w:spacing w:before="0" w:beforeAutospacing="off" w:after="0" w:afterAutospacing="off" w:line="259" w:lineRule="auto"/>
              <w:ind w:left="0" w:right="0"/>
              <w:jc w:val="left"/>
              <w:rPr>
                <w:rFonts w:ascii="Arial" w:hAnsi="Arial" w:eastAsia="Arial" w:cs="Arial"/>
                <w:color w:val="auto"/>
                <w:sz w:val="18"/>
                <w:szCs w:val="18"/>
              </w:rPr>
            </w:pPr>
            <w:r w:rsidRPr="05C03114" w:rsidR="05C03114">
              <w:rPr>
                <w:rFonts w:ascii="Arial" w:hAnsi="Arial" w:eastAsia="Arial" w:cs="Arial"/>
                <w:color w:val="auto"/>
                <w:sz w:val="18"/>
                <w:szCs w:val="18"/>
              </w:rPr>
              <w:t>-Engage in leadership to encourage use of Curricular Approach strategies</w:t>
            </w:r>
          </w:p>
        </w:tc>
        <w:tc>
          <w:tcPr>
            <w:tcW w:w="2520" w:type="dxa"/>
            <w:shd w:val="clear" w:color="auto" w:fill="DBCCE6"/>
            <w:tcMar/>
          </w:tcPr>
          <w:p w:rsidRPr="001B3CFB" w:rsidR="007023BF" w:rsidP="007023BF" w:rsidRDefault="007023BF" w14:paraId="1BFB1793" w14:textId="6043BAFE">
            <w:pPr>
              <w:rPr>
                <w:rFonts w:ascii="Arial" w:hAnsi="Arial" w:eastAsia="Arial" w:cs="Arial"/>
                <w:sz w:val="18"/>
                <w:szCs w:val="18"/>
              </w:rPr>
            </w:pPr>
            <w:r w:rsidRPr="735FE81C">
              <w:rPr>
                <w:rFonts w:ascii="Arial" w:hAnsi="Arial" w:eastAsia="Arial" w:cs="Arial"/>
                <w:sz w:val="18"/>
                <w:szCs w:val="18"/>
              </w:rPr>
              <w:t>5 weeks long with 1-hour meetings weekly</w:t>
            </w:r>
          </w:p>
        </w:tc>
        <w:tc>
          <w:tcPr>
            <w:tcW w:w="1907" w:type="dxa"/>
            <w:shd w:val="clear" w:color="auto" w:fill="DBCCE6"/>
            <w:tcMar/>
          </w:tcPr>
          <w:p w:rsidRPr="001B3CFB" w:rsidR="007023BF" w:rsidP="003767C2" w:rsidRDefault="0070442D" w14:paraId="0AC41E09" w14:textId="627EE0C4">
            <w:pPr>
              <w:rPr>
                <w:rFonts w:ascii="Arial" w:hAnsi="Arial" w:eastAsia="Arial" w:cs="Arial"/>
                <w:sz w:val="18"/>
                <w:szCs w:val="18"/>
              </w:rPr>
            </w:pPr>
            <w:r>
              <w:rPr>
                <w:rFonts w:ascii="Arial" w:hAnsi="Arial" w:eastAsia="Arial" w:cs="Arial"/>
                <w:sz w:val="18"/>
                <w:szCs w:val="18"/>
              </w:rPr>
              <w:t xml:space="preserve">10 </w:t>
            </w:r>
            <w:r w:rsidR="003767C2">
              <w:rPr>
                <w:rFonts w:ascii="Arial" w:hAnsi="Arial" w:eastAsia="Arial" w:cs="Arial"/>
                <w:sz w:val="18"/>
                <w:szCs w:val="18"/>
              </w:rPr>
              <w:t>student affairs professionals who made up t</w:t>
            </w:r>
            <w:r w:rsidRPr="735FE81C" w:rsidR="007023BF">
              <w:rPr>
                <w:rFonts w:ascii="Arial" w:hAnsi="Arial" w:eastAsia="Arial" w:cs="Arial"/>
                <w:sz w:val="18"/>
                <w:szCs w:val="18"/>
              </w:rPr>
              <w:t xml:space="preserve">he </w:t>
            </w:r>
            <w:r w:rsidR="003767C2">
              <w:rPr>
                <w:rFonts w:ascii="Arial" w:hAnsi="Arial" w:eastAsia="Arial" w:cs="Arial"/>
                <w:sz w:val="18"/>
                <w:szCs w:val="18"/>
              </w:rPr>
              <w:t>“</w:t>
            </w:r>
            <w:r w:rsidRPr="735FE81C" w:rsidR="007023BF">
              <w:rPr>
                <w:rFonts w:ascii="Arial" w:hAnsi="Arial" w:eastAsia="Arial" w:cs="Arial"/>
                <w:sz w:val="18"/>
                <w:szCs w:val="18"/>
              </w:rPr>
              <w:t>Curricular Approach to Student Affairs” Reading and Discussion Group</w:t>
            </w:r>
          </w:p>
        </w:tc>
        <w:tc>
          <w:tcPr>
            <w:tcW w:w="1743" w:type="dxa"/>
            <w:shd w:val="clear" w:color="auto" w:fill="DBCCE6"/>
            <w:tcMar/>
          </w:tcPr>
          <w:p w:rsidRPr="00775D0D" w:rsidR="007023BF" w:rsidP="007023BF" w:rsidRDefault="007023BF" w14:paraId="20C0F256" w14:textId="5FEDED54">
            <w:pPr>
              <w:pStyle w:val="ListParagraph"/>
              <w:numPr>
                <w:ilvl w:val="0"/>
                <w:numId w:val="6"/>
              </w:numPr>
              <w:rPr>
                <w:rFonts w:ascii="Arial" w:hAnsi="Arial" w:eastAsia="Arial" w:cs="Arial"/>
                <w:sz w:val="18"/>
                <w:szCs w:val="18"/>
              </w:rPr>
            </w:pPr>
            <w:r w:rsidRPr="003D3C63">
              <w:rPr>
                <w:rFonts w:ascii="Arial" w:hAnsi="Arial" w:eastAsia="Arial" w:cs="Arial"/>
                <w:sz w:val="18"/>
                <w:szCs w:val="18"/>
              </w:rPr>
              <w:t>Discussion questions</w:t>
            </w:r>
          </w:p>
        </w:tc>
      </w:tr>
      <w:tr w:rsidRPr="000965BE" w:rsidR="00E92E3C" w:rsidTr="6D014AC3" w14:paraId="2F321716" w14:textId="77777777">
        <w:trPr>
          <w:trHeight w:val="626"/>
        </w:trPr>
        <w:tc>
          <w:tcPr>
            <w:tcW w:w="2145" w:type="dxa"/>
            <w:vMerge/>
            <w:tcMar/>
          </w:tcPr>
          <w:p w:rsidRPr="735FE81C" w:rsidR="00E92E3C" w:rsidP="007023BF" w:rsidRDefault="00E92E3C" w14:paraId="1854678C" w14:textId="77777777">
            <w:pPr>
              <w:rPr>
                <w:rFonts w:ascii="Arial" w:hAnsi="Arial" w:eastAsia="Arial" w:cs="Arial"/>
                <w:b/>
                <w:bCs/>
                <w:sz w:val="20"/>
                <w:szCs w:val="20"/>
              </w:rPr>
            </w:pPr>
          </w:p>
        </w:tc>
        <w:tc>
          <w:tcPr>
            <w:tcW w:w="2070" w:type="dxa"/>
            <w:vMerge/>
            <w:tcMar/>
          </w:tcPr>
          <w:p w:rsidRPr="735FE81C" w:rsidR="00E92E3C" w:rsidP="007023BF" w:rsidRDefault="00E92E3C" w14:paraId="79153342" w14:textId="77777777">
            <w:pPr>
              <w:rPr>
                <w:rFonts w:ascii="Arial" w:hAnsi="Arial" w:eastAsia="Arial" w:cs="Arial"/>
                <w:sz w:val="18"/>
                <w:szCs w:val="18"/>
              </w:rPr>
            </w:pPr>
          </w:p>
        </w:tc>
        <w:tc>
          <w:tcPr>
            <w:tcW w:w="345" w:type="dxa"/>
            <w:tcBorders>
              <w:right w:val="none" w:color="000000" w:themeColor="text1" w:sz="4"/>
            </w:tcBorders>
            <w:shd w:val="clear" w:color="auto" w:fill="DBCCE6"/>
            <w:tcMar/>
            <w:vAlign w:val="top"/>
          </w:tcPr>
          <w:p w:rsidR="00E92E3C" w:rsidP="05C03114" w:rsidRDefault="00E92E3C" w14:paraId="3D5C5D2B" w14:textId="298CBDB5">
            <w:pPr>
              <w:jc w:val="center"/>
              <w:rPr>
                <w:rFonts w:ascii="Arial" w:hAnsi="Arial" w:eastAsia="Arial" w:cs="Arial"/>
              </w:rPr>
            </w:pPr>
            <w:r w:rsidRPr="05C03114" w:rsidR="05C03114">
              <w:rPr>
                <w:rFonts w:ascii="Arial" w:hAnsi="Arial" w:eastAsia="Arial" w:cs="Arial"/>
              </w:rPr>
              <w:t>2</w:t>
            </w:r>
          </w:p>
        </w:tc>
        <w:tc>
          <w:tcPr>
            <w:tcW w:w="1110" w:type="dxa"/>
            <w:tcBorders>
              <w:left w:val="none" w:color="000000" w:themeColor="text1" w:sz="4"/>
            </w:tcBorders>
            <w:shd w:val="clear" w:color="auto" w:fill="DBCCE6"/>
            <w:tcMar/>
            <w:vAlign w:val="top"/>
          </w:tcPr>
          <w:p w:rsidR="05C03114" w:rsidP="05C03114" w:rsidRDefault="05C03114" w14:paraId="4C1233C7" w14:textId="54B37A03">
            <w:pPr>
              <w:jc w:val="center"/>
              <w:rPr>
                <w:rFonts w:ascii="Arial" w:hAnsi="Arial" w:eastAsia="Arial" w:cs="Arial"/>
                <w:sz w:val="24"/>
                <w:szCs w:val="24"/>
              </w:rPr>
            </w:pPr>
            <w:r w:rsidRPr="05C03114" w:rsidR="05C03114">
              <w:rPr>
                <w:rFonts w:ascii="Arial" w:hAnsi="Arial" w:eastAsia="Arial" w:cs="Arial"/>
                <w:sz w:val="18"/>
                <w:szCs w:val="18"/>
              </w:rPr>
              <w:t>Advanced Beginner</w:t>
            </w:r>
          </w:p>
          <w:p w:rsidR="05C03114" w:rsidP="05C03114" w:rsidRDefault="05C03114" w14:paraId="32BA5D28" w14:textId="046C7B24">
            <w:pPr>
              <w:pStyle w:val="Normal"/>
              <w:jc w:val="center"/>
              <w:rPr>
                <w:rFonts w:ascii="Arial" w:hAnsi="Arial" w:eastAsia="Arial" w:cs="Arial"/>
              </w:rPr>
            </w:pPr>
          </w:p>
        </w:tc>
        <w:tc>
          <w:tcPr>
            <w:tcW w:w="2555" w:type="dxa"/>
            <w:shd w:val="clear" w:color="auto" w:fill="DBCCE6"/>
            <w:tcMar/>
          </w:tcPr>
          <w:p w:rsidR="00E92E3C" w:rsidP="007023BF" w:rsidRDefault="00AF6A98" w14:paraId="4402CED3" w14:textId="77777777">
            <w:pPr>
              <w:rPr>
                <w:rFonts w:ascii="Arial" w:hAnsi="Arial" w:eastAsia="Arial" w:cs="Arial"/>
                <w:sz w:val="18"/>
                <w:szCs w:val="18"/>
              </w:rPr>
            </w:pPr>
            <w:r w:rsidRPr="00AF6A98">
              <w:rPr>
                <w:rFonts w:ascii="Arial" w:hAnsi="Arial" w:eastAsia="Arial" w:cs="Arial"/>
                <w:sz w:val="18"/>
                <w:szCs w:val="18"/>
              </w:rPr>
              <w:t>-</w:t>
            </w:r>
            <w:r>
              <w:rPr>
                <w:rFonts w:ascii="Arial" w:hAnsi="Arial" w:eastAsia="Arial" w:cs="Arial"/>
                <w:sz w:val="18"/>
                <w:szCs w:val="18"/>
              </w:rPr>
              <w:t>Draft division-wide learning outcomes</w:t>
            </w:r>
          </w:p>
          <w:p w:rsidR="00AF6A98" w:rsidP="007023BF" w:rsidRDefault="00AF6A98" w14:paraId="28752812" w14:textId="77777777">
            <w:pPr>
              <w:rPr>
                <w:rFonts w:ascii="Arial" w:hAnsi="Arial" w:eastAsia="Arial" w:cs="Arial"/>
                <w:sz w:val="18"/>
                <w:szCs w:val="18"/>
              </w:rPr>
            </w:pPr>
            <w:r>
              <w:rPr>
                <w:rFonts w:ascii="Arial" w:hAnsi="Arial" w:eastAsia="Arial" w:cs="Arial"/>
                <w:sz w:val="18"/>
                <w:szCs w:val="18"/>
              </w:rPr>
              <w:t>-Map current programming to outcomes</w:t>
            </w:r>
          </w:p>
          <w:p w:rsidR="0067707A" w:rsidP="007023BF" w:rsidRDefault="0067707A" w14:paraId="7EDAF3A7" w14:textId="01557902">
            <w:pPr>
              <w:rPr>
                <w:rFonts w:ascii="Arial" w:hAnsi="Arial" w:eastAsia="Arial" w:cs="Arial"/>
                <w:sz w:val="18"/>
                <w:szCs w:val="18"/>
              </w:rPr>
            </w:pPr>
            <w:r>
              <w:rPr>
                <w:rFonts w:ascii="Arial" w:hAnsi="Arial" w:eastAsia="Arial" w:cs="Arial"/>
                <w:sz w:val="18"/>
                <w:szCs w:val="18"/>
              </w:rPr>
              <w:t>-Reconsider current programming approaches</w:t>
            </w:r>
          </w:p>
          <w:p w:rsidR="00D34487" w:rsidP="007023BF" w:rsidRDefault="00D34487" w14:paraId="7EA27396" w14:textId="0B335648">
            <w:pPr>
              <w:rPr>
                <w:rFonts w:ascii="Arial" w:hAnsi="Arial" w:eastAsia="Arial" w:cs="Arial"/>
                <w:sz w:val="18"/>
                <w:szCs w:val="18"/>
              </w:rPr>
            </w:pPr>
            <w:r>
              <w:rPr>
                <w:rFonts w:ascii="Arial" w:hAnsi="Arial" w:eastAsia="Arial" w:cs="Arial"/>
                <w:sz w:val="18"/>
                <w:szCs w:val="18"/>
              </w:rPr>
              <w:t>-</w:t>
            </w:r>
            <w:r w:rsidR="000763C9">
              <w:rPr>
                <w:rFonts w:ascii="Arial" w:hAnsi="Arial" w:eastAsia="Arial" w:cs="Arial"/>
                <w:sz w:val="18"/>
                <w:szCs w:val="18"/>
              </w:rPr>
              <w:t>Explain the importance of facilitation guides</w:t>
            </w:r>
          </w:p>
          <w:p w:rsidRPr="00AF6A98" w:rsidR="00AF6A98" w:rsidP="00D34487" w:rsidRDefault="00AF6A98" w14:paraId="1B6F0D92" w14:textId="75BCDF03">
            <w:pPr>
              <w:rPr>
                <w:rFonts w:ascii="Arial" w:hAnsi="Arial" w:eastAsia="Arial" w:cs="Arial"/>
                <w:sz w:val="18"/>
                <w:szCs w:val="18"/>
              </w:rPr>
            </w:pPr>
            <w:r w:rsidRPr="05C03114" w:rsidR="05C03114">
              <w:rPr>
                <w:rFonts w:ascii="Arial" w:hAnsi="Arial" w:eastAsia="Arial" w:cs="Arial"/>
                <w:sz w:val="18"/>
                <w:szCs w:val="18"/>
              </w:rPr>
              <w:t>-Enhancing a culture of assessment</w:t>
            </w:r>
          </w:p>
        </w:tc>
        <w:tc>
          <w:tcPr>
            <w:tcW w:w="2520" w:type="dxa"/>
            <w:shd w:val="clear" w:color="auto" w:fill="DBCCE6"/>
            <w:tcMar/>
          </w:tcPr>
          <w:p w:rsidRPr="735FE81C" w:rsidR="00E92E3C" w:rsidP="007023BF" w:rsidRDefault="00B6694E" w14:paraId="0E685071" w14:textId="2A4ECD15">
            <w:pPr>
              <w:rPr>
                <w:rFonts w:ascii="Arial" w:hAnsi="Arial" w:eastAsia="Arial" w:cs="Arial"/>
                <w:sz w:val="18"/>
                <w:szCs w:val="18"/>
              </w:rPr>
            </w:pPr>
            <w:r>
              <w:rPr>
                <w:rFonts w:ascii="Arial" w:hAnsi="Arial" w:eastAsia="Arial" w:cs="Arial"/>
                <w:sz w:val="18"/>
                <w:szCs w:val="18"/>
              </w:rPr>
              <w:t>4 workshops (1.5-3 hrs.) including: Intro, What, How, and Why of the Curricular approach</w:t>
            </w:r>
          </w:p>
        </w:tc>
        <w:tc>
          <w:tcPr>
            <w:tcW w:w="1907" w:type="dxa"/>
            <w:shd w:val="clear" w:color="auto" w:fill="DBCCE6"/>
            <w:tcMar/>
          </w:tcPr>
          <w:p w:rsidRPr="735FE81C" w:rsidR="00E92E3C" w:rsidP="007023BF" w:rsidRDefault="00B6694E" w14:paraId="52E2AD95" w14:textId="4E837B9F">
            <w:pPr>
              <w:rPr>
                <w:rFonts w:ascii="Arial" w:hAnsi="Arial" w:eastAsia="Arial" w:cs="Arial"/>
                <w:sz w:val="18"/>
                <w:szCs w:val="18"/>
              </w:rPr>
            </w:pPr>
            <w:r>
              <w:rPr>
                <w:rFonts w:ascii="Arial" w:hAnsi="Arial" w:eastAsia="Arial" w:cs="Arial"/>
                <w:sz w:val="18"/>
                <w:szCs w:val="18"/>
              </w:rPr>
              <w:t xml:space="preserve">Available to everyone in the Division </w:t>
            </w:r>
            <w:r w:rsidR="009533D2">
              <w:rPr>
                <w:rFonts w:ascii="Arial" w:hAnsi="Arial" w:eastAsia="Arial" w:cs="Arial"/>
                <w:sz w:val="18"/>
                <w:szCs w:val="18"/>
              </w:rPr>
              <w:t xml:space="preserve">of Student Affairs </w:t>
            </w:r>
            <w:r>
              <w:rPr>
                <w:rFonts w:ascii="Arial" w:hAnsi="Arial" w:eastAsia="Arial" w:cs="Arial"/>
                <w:sz w:val="18"/>
                <w:szCs w:val="18"/>
              </w:rPr>
              <w:t xml:space="preserve">as well as </w:t>
            </w:r>
            <w:r w:rsidR="009533D2">
              <w:rPr>
                <w:rFonts w:ascii="Arial" w:hAnsi="Arial" w:eastAsia="Arial" w:cs="Arial"/>
                <w:sz w:val="18"/>
                <w:szCs w:val="18"/>
              </w:rPr>
              <w:t xml:space="preserve">key </w:t>
            </w:r>
            <w:r>
              <w:rPr>
                <w:rFonts w:ascii="Arial" w:hAnsi="Arial" w:eastAsia="Arial" w:cs="Arial"/>
                <w:sz w:val="18"/>
                <w:szCs w:val="18"/>
              </w:rPr>
              <w:t>Academic</w:t>
            </w:r>
            <w:r w:rsidR="009533D2">
              <w:rPr>
                <w:rFonts w:ascii="Arial" w:hAnsi="Arial" w:eastAsia="Arial" w:cs="Arial"/>
                <w:sz w:val="18"/>
                <w:szCs w:val="18"/>
              </w:rPr>
              <w:t xml:space="preserve"> </w:t>
            </w:r>
            <w:r>
              <w:rPr>
                <w:rFonts w:ascii="Arial" w:hAnsi="Arial" w:eastAsia="Arial" w:cs="Arial"/>
                <w:sz w:val="18"/>
                <w:szCs w:val="18"/>
              </w:rPr>
              <w:t xml:space="preserve">Affairs </w:t>
            </w:r>
            <w:r w:rsidR="009533D2">
              <w:rPr>
                <w:rFonts w:ascii="Arial" w:hAnsi="Arial" w:eastAsia="Arial" w:cs="Arial"/>
                <w:sz w:val="18"/>
                <w:szCs w:val="18"/>
              </w:rPr>
              <w:t>stakeholders</w:t>
            </w:r>
          </w:p>
        </w:tc>
        <w:tc>
          <w:tcPr>
            <w:tcW w:w="1743" w:type="dxa"/>
            <w:shd w:val="clear" w:color="auto" w:fill="DBCCE6"/>
            <w:tcMar/>
          </w:tcPr>
          <w:p w:rsidRPr="003D3C63" w:rsidR="00E92E3C" w:rsidP="007023BF" w:rsidRDefault="00B20210" w14:paraId="5D29FF40" w14:textId="2D873DD9">
            <w:pPr>
              <w:pStyle w:val="ListParagraph"/>
              <w:numPr>
                <w:ilvl w:val="0"/>
                <w:numId w:val="6"/>
              </w:numPr>
              <w:rPr>
                <w:rFonts w:ascii="Arial" w:hAnsi="Arial" w:eastAsia="Arial" w:cs="Arial"/>
                <w:sz w:val="18"/>
                <w:szCs w:val="18"/>
              </w:rPr>
            </w:pPr>
            <w:hyperlink w:history="1" r:id="rId10">
              <w:r w:rsidRPr="00CA142F" w:rsidR="009533D2">
                <w:rPr>
                  <w:rStyle w:val="Hyperlink"/>
                  <w:rFonts w:ascii="Arial" w:hAnsi="Arial" w:eastAsia="Arial" w:cs="Arial"/>
                  <w:sz w:val="18"/>
                  <w:szCs w:val="18"/>
                </w:rPr>
                <w:t>Link to website</w:t>
              </w:r>
            </w:hyperlink>
          </w:p>
        </w:tc>
      </w:tr>
      <w:tr w:rsidRPr="000965BE" w:rsidR="007023BF" w:rsidTr="6D014AC3" w14:paraId="2932CCEF" w14:textId="77777777">
        <w:trPr>
          <w:trHeight w:val="626"/>
        </w:trPr>
        <w:tc>
          <w:tcPr>
            <w:tcW w:w="2145" w:type="dxa"/>
            <w:vMerge/>
            <w:tcMar/>
          </w:tcPr>
          <w:p w:rsidRPr="00E03A44" w:rsidR="007023BF" w:rsidP="007023BF" w:rsidRDefault="007023BF" w14:paraId="7987E170" w14:textId="77777777">
            <w:pPr>
              <w:rPr>
                <w:rFonts w:ascii="Georgia" w:hAnsi="Georgia" w:cs="Times New Roman"/>
                <w:b/>
                <w:sz w:val="20"/>
                <w:szCs w:val="18"/>
              </w:rPr>
            </w:pPr>
          </w:p>
        </w:tc>
        <w:tc>
          <w:tcPr>
            <w:tcW w:w="2070" w:type="dxa"/>
            <w:vMerge/>
            <w:tcMar/>
          </w:tcPr>
          <w:p w:rsidRPr="00195A5D" w:rsidR="007023BF" w:rsidP="007023BF" w:rsidRDefault="007023BF" w14:paraId="7705C92E" w14:textId="77777777">
            <w:pPr>
              <w:rPr>
                <w:rFonts w:ascii="Georgia" w:hAnsi="Georgia" w:cs="Times New Roman"/>
                <w:sz w:val="18"/>
                <w:szCs w:val="18"/>
              </w:rPr>
            </w:pPr>
          </w:p>
        </w:tc>
        <w:tc>
          <w:tcPr>
            <w:tcW w:w="345" w:type="dxa"/>
            <w:tcBorders>
              <w:right w:val="none" w:color="000000" w:themeColor="text1" w:sz="4"/>
            </w:tcBorders>
            <w:shd w:val="clear" w:color="auto" w:fill="DBCCE6"/>
            <w:tcMar/>
            <w:vAlign w:val="top"/>
          </w:tcPr>
          <w:p w:rsidR="007023BF" w:rsidP="05C03114" w:rsidRDefault="007023BF" w14:paraId="1AB0204D" w14:textId="5C617F8C">
            <w:pPr>
              <w:jc w:val="center"/>
              <w:rPr>
                <w:rFonts w:ascii="Arial" w:hAnsi="Arial" w:eastAsia="Arial" w:cs="Arial"/>
                <w:sz w:val="24"/>
                <w:szCs w:val="24"/>
              </w:rPr>
            </w:pPr>
            <w:r w:rsidRPr="05C03114" w:rsidR="05C03114">
              <w:rPr>
                <w:rFonts w:ascii="Arial" w:hAnsi="Arial" w:eastAsia="Arial" w:cs="Arial"/>
              </w:rPr>
              <w:t>3</w:t>
            </w:r>
          </w:p>
          <w:p w:rsidR="007023BF" w:rsidP="05C03114" w:rsidRDefault="007023BF" w14:paraId="77150EFE" w14:textId="72B1C566" w14:noSpellErr="1">
            <w:pPr>
              <w:jc w:val="center"/>
              <w:rPr>
                <w:rFonts w:ascii="Arial" w:hAnsi="Arial" w:eastAsia="Arial" w:cs="Arial"/>
                <w:sz w:val="18"/>
                <w:szCs w:val="18"/>
              </w:rPr>
            </w:pPr>
          </w:p>
        </w:tc>
        <w:tc>
          <w:tcPr>
            <w:tcW w:w="1110" w:type="dxa"/>
            <w:tcBorders>
              <w:left w:val="none" w:color="000000" w:themeColor="text1" w:sz="4"/>
            </w:tcBorders>
            <w:shd w:val="clear" w:color="auto" w:fill="DBCCE6"/>
            <w:tcMar/>
            <w:vAlign w:val="top"/>
          </w:tcPr>
          <w:p w:rsidR="05C03114" w:rsidP="05C03114" w:rsidRDefault="05C03114" w14:paraId="1EC17B15" w14:textId="379A60E3">
            <w:pPr>
              <w:pStyle w:val="Normal"/>
              <w:jc w:val="center"/>
              <w:rPr>
                <w:rFonts w:ascii="Arial" w:hAnsi="Arial" w:eastAsia="Arial" w:cs="Arial"/>
                <w:sz w:val="18"/>
                <w:szCs w:val="18"/>
              </w:rPr>
            </w:pPr>
            <w:r w:rsidRPr="05C03114" w:rsidR="05C03114">
              <w:rPr>
                <w:rFonts w:ascii="Arial" w:hAnsi="Arial" w:eastAsia="Arial" w:cs="Arial"/>
                <w:sz w:val="18"/>
                <w:szCs w:val="18"/>
              </w:rPr>
              <w:t>Competent</w:t>
            </w:r>
          </w:p>
        </w:tc>
        <w:tc>
          <w:tcPr>
            <w:tcW w:w="2555" w:type="dxa"/>
            <w:shd w:val="clear" w:color="auto" w:fill="DBCCE6"/>
            <w:tcMar/>
          </w:tcPr>
          <w:p w:rsidRPr="00E03A44" w:rsidR="007023BF" w:rsidP="007023BF" w:rsidRDefault="007023BF" w14:paraId="71D3F2BA" w14:textId="77777777">
            <w:pPr>
              <w:rPr>
                <w:rFonts w:ascii="Arial" w:hAnsi="Arial" w:eastAsia="Arial" w:cs="Arial"/>
                <w:sz w:val="18"/>
                <w:szCs w:val="18"/>
              </w:rPr>
            </w:pPr>
            <w:r w:rsidRPr="735FE81C">
              <w:rPr>
                <w:rFonts w:ascii="Arial" w:hAnsi="Arial" w:eastAsia="Arial" w:cs="Arial"/>
                <w:sz w:val="18"/>
                <w:szCs w:val="18"/>
              </w:rPr>
              <w:t>-Summarize how to implement the Curricular Approach</w:t>
            </w:r>
          </w:p>
          <w:p w:rsidRPr="00E03A44" w:rsidR="007023BF" w:rsidP="05C03114" w:rsidRDefault="007023BF" w14:paraId="759B4AD4" w14:textId="7A3D183D">
            <w:pPr>
              <w:rPr>
                <w:rFonts w:ascii="Arial" w:hAnsi="Arial" w:eastAsia="Arial" w:cs="Arial"/>
                <w:sz w:val="18"/>
                <w:szCs w:val="18"/>
              </w:rPr>
            </w:pPr>
            <w:r w:rsidRPr="05C03114" w:rsidR="05C03114">
              <w:rPr>
                <w:rFonts w:ascii="Arial" w:hAnsi="Arial" w:eastAsia="Arial" w:cs="Arial"/>
                <w:sz w:val="18"/>
                <w:szCs w:val="18"/>
              </w:rPr>
              <w:t>-Contribute to meta-assessment procedures</w:t>
            </w:r>
          </w:p>
        </w:tc>
        <w:tc>
          <w:tcPr>
            <w:tcW w:w="2520" w:type="dxa"/>
            <w:shd w:val="clear" w:color="auto" w:fill="DBCCE6"/>
            <w:tcMar/>
          </w:tcPr>
          <w:p w:rsidRPr="00E03A44" w:rsidR="007023BF" w:rsidP="007023BF" w:rsidRDefault="007023BF" w14:paraId="6192930F" w14:textId="26CA2040">
            <w:pPr>
              <w:rPr>
                <w:rFonts w:ascii="Arial" w:hAnsi="Arial" w:eastAsia="Arial" w:cs="Arial"/>
                <w:sz w:val="18"/>
                <w:szCs w:val="18"/>
              </w:rPr>
            </w:pPr>
            <w:r w:rsidRPr="735FE81C">
              <w:rPr>
                <w:rFonts w:ascii="Arial" w:hAnsi="Arial" w:eastAsia="Arial" w:cs="Arial"/>
                <w:sz w:val="18"/>
                <w:szCs w:val="18"/>
              </w:rPr>
              <w:t>Monthly series, semester-long, held over multiple semesters</w:t>
            </w:r>
          </w:p>
        </w:tc>
        <w:tc>
          <w:tcPr>
            <w:tcW w:w="1907" w:type="dxa"/>
            <w:shd w:val="clear" w:color="auto" w:fill="DBCCE6"/>
            <w:tcMar/>
          </w:tcPr>
          <w:p w:rsidRPr="00E03A44" w:rsidR="007023BF" w:rsidP="007023BF" w:rsidRDefault="007023BF" w14:paraId="4F20A3F4" w14:textId="3343FF1B">
            <w:pPr>
              <w:rPr>
                <w:rFonts w:ascii="Arial" w:hAnsi="Arial" w:eastAsia="Arial" w:cs="Arial"/>
                <w:sz w:val="18"/>
                <w:szCs w:val="18"/>
              </w:rPr>
            </w:pPr>
            <w:r w:rsidRPr="735FE81C">
              <w:rPr>
                <w:rFonts w:ascii="Arial" w:hAnsi="Arial" w:eastAsia="Arial" w:cs="Arial"/>
                <w:sz w:val="18"/>
                <w:szCs w:val="18"/>
              </w:rPr>
              <w:t>Available for anyone in the Division of Student Affairs to attend</w:t>
            </w:r>
          </w:p>
        </w:tc>
        <w:tc>
          <w:tcPr>
            <w:tcW w:w="1743" w:type="dxa"/>
            <w:shd w:val="clear" w:color="auto" w:fill="DBCCE6"/>
            <w:tcMar/>
          </w:tcPr>
          <w:p w:rsidRPr="00775D0D" w:rsidR="007023BF" w:rsidP="007023BF" w:rsidRDefault="007023BF" w14:paraId="323EAAFF" w14:textId="529E9011">
            <w:pPr>
              <w:pStyle w:val="ListParagraph"/>
              <w:numPr>
                <w:ilvl w:val="0"/>
                <w:numId w:val="5"/>
              </w:numPr>
              <w:spacing w:line="259" w:lineRule="auto"/>
              <w:rPr>
                <w:rFonts w:ascii="Arial" w:hAnsi="Arial" w:eastAsia="Arial" w:cs="Arial"/>
                <w:sz w:val="18"/>
                <w:szCs w:val="18"/>
              </w:rPr>
            </w:pPr>
            <w:r w:rsidRPr="735FE81C">
              <w:rPr>
                <w:rFonts w:ascii="Arial" w:hAnsi="Arial" w:eastAsia="Arial" w:cs="Arial"/>
                <w:sz w:val="18"/>
                <w:szCs w:val="18"/>
              </w:rPr>
              <w:t>Presentations</w:t>
            </w:r>
          </w:p>
        </w:tc>
      </w:tr>
      <w:tr w:rsidRPr="000965BE" w:rsidR="007023BF" w:rsidTr="6D014AC3" w14:paraId="1A65B8E8" w14:textId="77777777">
        <w:trPr>
          <w:trHeight w:val="626"/>
        </w:trPr>
        <w:tc>
          <w:tcPr>
            <w:tcW w:w="2145" w:type="dxa"/>
            <w:vMerge/>
            <w:tcMar/>
          </w:tcPr>
          <w:p w:rsidRPr="00E03A44" w:rsidR="007023BF" w:rsidP="007023BF" w:rsidRDefault="007023BF" w14:paraId="1CECAD91" w14:textId="77777777">
            <w:pPr>
              <w:rPr>
                <w:rFonts w:ascii="Georgia" w:hAnsi="Georgia" w:cs="Times New Roman"/>
                <w:b/>
                <w:sz w:val="20"/>
                <w:szCs w:val="18"/>
              </w:rPr>
            </w:pPr>
          </w:p>
        </w:tc>
        <w:tc>
          <w:tcPr>
            <w:tcW w:w="2070" w:type="dxa"/>
            <w:vMerge/>
            <w:tcMar/>
          </w:tcPr>
          <w:p w:rsidRPr="00195A5D" w:rsidR="007023BF" w:rsidP="007023BF" w:rsidRDefault="007023BF" w14:paraId="7E156D24" w14:textId="77777777">
            <w:pPr>
              <w:rPr>
                <w:rFonts w:ascii="Georgia" w:hAnsi="Georgia" w:cs="Times New Roman"/>
                <w:sz w:val="18"/>
                <w:szCs w:val="18"/>
              </w:rPr>
            </w:pPr>
          </w:p>
        </w:tc>
        <w:tc>
          <w:tcPr>
            <w:tcW w:w="345" w:type="dxa"/>
            <w:tcBorders>
              <w:right w:val="none" w:color="000000" w:themeColor="text1" w:sz="4"/>
            </w:tcBorders>
            <w:shd w:val="clear" w:color="auto" w:fill="DBCCE6"/>
            <w:tcMar/>
            <w:vAlign w:val="top"/>
          </w:tcPr>
          <w:p w:rsidR="007023BF" w:rsidP="05C03114" w:rsidRDefault="007023BF" w14:paraId="264A7FEC" w14:textId="6EE17639">
            <w:pPr>
              <w:jc w:val="center"/>
              <w:rPr>
                <w:rFonts w:ascii="Arial" w:hAnsi="Arial" w:eastAsia="Arial" w:cs="Arial"/>
                <w:sz w:val="28"/>
                <w:szCs w:val="28"/>
              </w:rPr>
            </w:pPr>
            <w:r w:rsidRPr="05C03114" w:rsidR="05C03114">
              <w:rPr>
                <w:rFonts w:ascii="Arial" w:hAnsi="Arial" w:eastAsia="Arial" w:cs="Arial"/>
                <w:sz w:val="24"/>
                <w:szCs w:val="24"/>
              </w:rPr>
              <w:t>4</w:t>
            </w:r>
          </w:p>
        </w:tc>
        <w:tc>
          <w:tcPr>
            <w:tcW w:w="1110" w:type="dxa"/>
            <w:tcBorders>
              <w:left w:val="none" w:color="000000" w:themeColor="text1" w:sz="4"/>
            </w:tcBorders>
            <w:shd w:val="clear" w:color="auto" w:fill="DBCCE6"/>
            <w:tcMar/>
            <w:vAlign w:val="top"/>
          </w:tcPr>
          <w:p w:rsidR="05C03114" w:rsidP="05C03114" w:rsidRDefault="05C03114" w14:paraId="01277260" w14:textId="24DBA7E4">
            <w:pPr>
              <w:jc w:val="center"/>
              <w:rPr>
                <w:rFonts w:ascii="Arial" w:hAnsi="Arial" w:eastAsia="Arial" w:cs="Arial"/>
                <w:sz w:val="18"/>
                <w:szCs w:val="18"/>
              </w:rPr>
            </w:pPr>
            <w:r w:rsidRPr="05C03114" w:rsidR="05C03114">
              <w:rPr>
                <w:rFonts w:ascii="Arial" w:hAnsi="Arial" w:eastAsia="Arial" w:cs="Arial"/>
                <w:sz w:val="18"/>
                <w:szCs w:val="18"/>
              </w:rPr>
              <w:t>Proficient</w:t>
            </w:r>
          </w:p>
          <w:p w:rsidR="05C03114" w:rsidP="05C03114" w:rsidRDefault="05C03114" w14:paraId="1CEAA499" w14:textId="33A8C4D1">
            <w:pPr>
              <w:pStyle w:val="Normal"/>
              <w:jc w:val="center"/>
              <w:rPr>
                <w:rFonts w:ascii="Arial" w:hAnsi="Arial" w:eastAsia="Arial" w:cs="Arial"/>
                <w:sz w:val="24"/>
                <w:szCs w:val="24"/>
              </w:rPr>
            </w:pPr>
          </w:p>
        </w:tc>
        <w:tc>
          <w:tcPr>
            <w:tcW w:w="2555" w:type="dxa"/>
            <w:shd w:val="clear" w:color="auto" w:fill="DBCCE6"/>
            <w:tcMar/>
          </w:tcPr>
          <w:p w:rsidRPr="001B3CFB" w:rsidR="007023BF" w:rsidP="007023BF" w:rsidRDefault="007023BF" w14:paraId="2EE7D2BD" w14:textId="77777777">
            <w:pPr>
              <w:rPr>
                <w:rFonts w:ascii="Arial" w:hAnsi="Arial" w:eastAsia="Arial" w:cs="Arial"/>
                <w:sz w:val="18"/>
                <w:szCs w:val="18"/>
              </w:rPr>
            </w:pPr>
            <w:r w:rsidRPr="735FE81C">
              <w:rPr>
                <w:rFonts w:ascii="Arial" w:hAnsi="Arial" w:eastAsia="Arial" w:cs="Arial"/>
                <w:sz w:val="18"/>
                <w:szCs w:val="18"/>
              </w:rPr>
              <w:t>-Construct departmental educational plans</w:t>
            </w:r>
          </w:p>
          <w:p w:rsidRPr="00E03A44" w:rsidR="007023BF" w:rsidP="007023BF" w:rsidRDefault="007023BF" w14:paraId="6F5710DF" w14:textId="2A01C866">
            <w:pPr>
              <w:rPr>
                <w:rFonts w:ascii="Arial" w:hAnsi="Arial" w:eastAsia="Arial" w:cs="Arial"/>
                <w:sz w:val="18"/>
                <w:szCs w:val="18"/>
              </w:rPr>
            </w:pPr>
            <w:r w:rsidRPr="05C03114" w:rsidR="05C03114">
              <w:rPr>
                <w:rFonts w:ascii="Arial" w:hAnsi="Arial" w:eastAsia="Arial" w:cs="Arial"/>
                <w:sz w:val="18"/>
                <w:szCs w:val="18"/>
              </w:rPr>
              <w:t>-Develop programmatic sequencing</w:t>
            </w:r>
          </w:p>
        </w:tc>
        <w:tc>
          <w:tcPr>
            <w:tcW w:w="2520" w:type="dxa"/>
            <w:shd w:val="clear" w:color="auto" w:fill="DBCCE6"/>
            <w:tcMar/>
          </w:tcPr>
          <w:p w:rsidRPr="00E03A44" w:rsidR="007023BF" w:rsidP="007023BF" w:rsidRDefault="007023BF" w14:paraId="7A2F2ABA" w14:textId="2D6F4E6D">
            <w:pPr>
              <w:rPr>
                <w:rFonts w:ascii="Arial" w:hAnsi="Arial" w:eastAsia="Arial" w:cs="Arial"/>
                <w:sz w:val="18"/>
                <w:szCs w:val="18"/>
              </w:rPr>
            </w:pPr>
            <w:r w:rsidRPr="05C03114" w:rsidR="05C03114">
              <w:rPr>
                <w:rFonts w:ascii="Arial" w:hAnsi="Arial" w:eastAsia="Arial" w:cs="Arial"/>
                <w:sz w:val="18"/>
                <w:szCs w:val="18"/>
              </w:rPr>
              <w:t>Semester-long consultations; time spent on consultations was dependent on the needs of departments throughout semester. Average 3 hours per month spent on consultation.</w:t>
            </w:r>
          </w:p>
        </w:tc>
        <w:tc>
          <w:tcPr>
            <w:tcW w:w="1907" w:type="dxa"/>
            <w:shd w:val="clear" w:color="auto" w:fill="DBCCE6"/>
            <w:tcMar/>
          </w:tcPr>
          <w:p w:rsidRPr="00E03A44" w:rsidR="007023BF" w:rsidP="007023BF" w:rsidRDefault="007023BF" w14:paraId="7E871B2D" w14:textId="2EE9BFDD">
            <w:pPr>
              <w:rPr>
                <w:rFonts w:ascii="Arial" w:hAnsi="Arial" w:eastAsia="Arial" w:cs="Arial"/>
                <w:sz w:val="18"/>
                <w:szCs w:val="18"/>
              </w:rPr>
            </w:pPr>
            <w:r w:rsidRPr="735FE81C">
              <w:rPr>
                <w:rFonts w:ascii="Arial" w:hAnsi="Arial" w:eastAsia="Arial" w:cs="Arial"/>
                <w:sz w:val="18"/>
                <w:szCs w:val="18"/>
              </w:rPr>
              <w:lastRenderedPageBreak/>
              <w:t>Provided to individual departments in the Division of Student Affairs</w:t>
            </w:r>
          </w:p>
        </w:tc>
        <w:tc>
          <w:tcPr>
            <w:tcW w:w="1743" w:type="dxa"/>
            <w:shd w:val="clear" w:color="auto" w:fill="DBCCE6"/>
            <w:tcMar/>
          </w:tcPr>
          <w:p w:rsidRPr="00775D0D" w:rsidR="007023BF" w:rsidP="007023BF" w:rsidRDefault="007023BF" w14:paraId="58723A74" w14:textId="77777777">
            <w:pPr>
              <w:pStyle w:val="ListParagraph"/>
              <w:numPr>
                <w:ilvl w:val="0"/>
                <w:numId w:val="5"/>
              </w:numPr>
              <w:spacing w:line="259" w:lineRule="auto"/>
              <w:rPr>
                <w:rFonts w:ascii="Arial" w:hAnsi="Arial" w:eastAsia="Arial" w:cs="Arial"/>
                <w:sz w:val="18"/>
                <w:szCs w:val="18"/>
              </w:rPr>
            </w:pPr>
            <w:r w:rsidRPr="735FE81C">
              <w:rPr>
                <w:rFonts w:ascii="Arial" w:hAnsi="Arial" w:eastAsia="Arial" w:cs="Arial"/>
                <w:sz w:val="18"/>
                <w:szCs w:val="18"/>
              </w:rPr>
              <w:t>Divisional learning aims</w:t>
            </w:r>
          </w:p>
          <w:p w:rsidRPr="003D3C63" w:rsidR="007023BF" w:rsidP="007023BF" w:rsidRDefault="007023BF" w14:paraId="202A860F" w14:textId="313964AF">
            <w:pPr>
              <w:pStyle w:val="ListParagraph"/>
              <w:numPr>
                <w:ilvl w:val="0"/>
                <w:numId w:val="4"/>
              </w:numPr>
              <w:rPr>
                <w:rFonts w:ascii="Arial" w:hAnsi="Arial" w:eastAsia="Arial" w:cs="Arial"/>
                <w:sz w:val="18"/>
                <w:szCs w:val="18"/>
              </w:rPr>
            </w:pPr>
            <w:r w:rsidRPr="735FE81C">
              <w:rPr>
                <w:rFonts w:ascii="Arial" w:hAnsi="Arial" w:eastAsia="Arial" w:cs="Arial"/>
                <w:sz w:val="18"/>
                <w:szCs w:val="18"/>
              </w:rPr>
              <w:t>Map of divisional learning strategies to aims</w:t>
            </w:r>
          </w:p>
        </w:tc>
      </w:tr>
    </w:tbl>
    <w:p w:rsidR="00014607" w:rsidRDefault="00014607" w14:paraId="705D14CB" w14:textId="77777777"/>
    <w:sectPr w:rsidR="00014607" w:rsidSect="001575C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int2:observations>
    <int2:textHash int2:hashCode="Os7rZBc/LCU6RI" int2:id="K4ennkCW">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7D5"/>
    <w:multiLevelType w:val="hybridMultilevel"/>
    <w:tmpl w:val="0734D832"/>
    <w:lvl w:ilvl="0" w:tplc="250A6200">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8ED1651"/>
    <w:multiLevelType w:val="hybridMultilevel"/>
    <w:tmpl w:val="F3D25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167C0"/>
    <w:multiLevelType w:val="hybridMultilevel"/>
    <w:tmpl w:val="C876FF4C"/>
    <w:lvl w:ilvl="0" w:tplc="A11E9C56">
      <w:start w:val="1"/>
      <w:numFmt w:val="decimal"/>
      <w:lvlText w:val="%1)"/>
      <w:lvlJc w:val="left"/>
      <w:pPr>
        <w:ind w:left="360" w:hanging="360"/>
      </w:pPr>
    </w:lvl>
    <w:lvl w:ilvl="1" w:tplc="24D205EA">
      <w:start w:val="1"/>
      <w:numFmt w:val="lowerLetter"/>
      <w:lvlText w:val="%2."/>
      <w:lvlJc w:val="left"/>
      <w:pPr>
        <w:ind w:left="1080" w:hanging="360"/>
      </w:pPr>
    </w:lvl>
    <w:lvl w:ilvl="2" w:tplc="1E420F30">
      <w:start w:val="1"/>
      <w:numFmt w:val="lowerRoman"/>
      <w:lvlText w:val="%3."/>
      <w:lvlJc w:val="right"/>
      <w:pPr>
        <w:ind w:left="1800" w:hanging="180"/>
      </w:pPr>
    </w:lvl>
    <w:lvl w:ilvl="3" w:tplc="2A4AE21E">
      <w:start w:val="1"/>
      <w:numFmt w:val="decimal"/>
      <w:lvlText w:val="%4."/>
      <w:lvlJc w:val="left"/>
      <w:pPr>
        <w:ind w:left="2520" w:hanging="360"/>
      </w:pPr>
    </w:lvl>
    <w:lvl w:ilvl="4" w:tplc="31640F6A" w:tentative="1">
      <w:start w:val="1"/>
      <w:numFmt w:val="lowerLetter"/>
      <w:lvlText w:val="%5."/>
      <w:lvlJc w:val="left"/>
      <w:pPr>
        <w:ind w:left="3240" w:hanging="360"/>
      </w:pPr>
    </w:lvl>
    <w:lvl w:ilvl="5" w:tplc="A40AB730" w:tentative="1">
      <w:start w:val="1"/>
      <w:numFmt w:val="lowerRoman"/>
      <w:lvlText w:val="%6."/>
      <w:lvlJc w:val="right"/>
      <w:pPr>
        <w:ind w:left="3960" w:hanging="180"/>
      </w:pPr>
    </w:lvl>
    <w:lvl w:ilvl="6" w:tplc="4934B4B4" w:tentative="1">
      <w:start w:val="1"/>
      <w:numFmt w:val="decimal"/>
      <w:lvlText w:val="%7."/>
      <w:lvlJc w:val="left"/>
      <w:pPr>
        <w:ind w:left="4680" w:hanging="360"/>
      </w:pPr>
    </w:lvl>
    <w:lvl w:ilvl="7" w:tplc="FD8CA04A" w:tentative="1">
      <w:start w:val="1"/>
      <w:numFmt w:val="lowerLetter"/>
      <w:lvlText w:val="%8."/>
      <w:lvlJc w:val="left"/>
      <w:pPr>
        <w:ind w:left="5400" w:hanging="360"/>
      </w:pPr>
    </w:lvl>
    <w:lvl w:ilvl="8" w:tplc="BFCEC39E" w:tentative="1">
      <w:start w:val="1"/>
      <w:numFmt w:val="lowerRoman"/>
      <w:lvlText w:val="%9."/>
      <w:lvlJc w:val="right"/>
      <w:pPr>
        <w:ind w:left="6120" w:hanging="180"/>
      </w:pPr>
    </w:lvl>
  </w:abstractNum>
  <w:abstractNum w:abstractNumId="3" w15:restartNumberingAfterBreak="0">
    <w:nsid w:val="28CA06EA"/>
    <w:multiLevelType w:val="hybridMultilevel"/>
    <w:tmpl w:val="D34804E0"/>
    <w:lvl w:ilvl="0" w:tplc="250A6200">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CE74ACD"/>
    <w:multiLevelType w:val="hybridMultilevel"/>
    <w:tmpl w:val="5DE8E928"/>
    <w:lvl w:ilvl="0" w:tplc="250A6200">
      <w:start w:val="1"/>
      <w:numFmt w:val="bullet"/>
      <w:lvlText w:val=""/>
      <w:lvlJc w:val="left"/>
      <w:pPr>
        <w:ind w:left="360" w:hanging="360"/>
      </w:pPr>
      <w:rPr>
        <w:rFonts w:hint="default" w:ascii="Symbol" w:hAnsi="Symbol"/>
      </w:rPr>
    </w:lvl>
    <w:lvl w:ilvl="1" w:tplc="D26AD936">
      <w:numFmt w:val="bullet"/>
      <w:lvlText w:val="•"/>
      <w:lvlJc w:val="left"/>
      <w:pPr>
        <w:ind w:left="1080" w:hanging="360"/>
      </w:pPr>
      <w:rPr>
        <w:rFonts w:hint="default" w:ascii="Georgia" w:hAnsi="Georgia" w:cs="Times New Roman" w:eastAsiaTheme="minorHAnsi"/>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54836054"/>
    <w:multiLevelType w:val="hybridMultilevel"/>
    <w:tmpl w:val="A7FE58F2"/>
    <w:lvl w:ilvl="0" w:tplc="250A6200">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FD55714"/>
    <w:multiLevelType w:val="hybridMultilevel"/>
    <w:tmpl w:val="BFE4343C"/>
    <w:lvl w:ilvl="0" w:tplc="250A6200">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99515722">
    <w:abstractNumId w:val="4"/>
  </w:num>
  <w:num w:numId="2" w16cid:durableId="2024044836">
    <w:abstractNumId w:val="5"/>
  </w:num>
  <w:num w:numId="3" w16cid:durableId="672073583">
    <w:abstractNumId w:val="1"/>
  </w:num>
  <w:num w:numId="4" w16cid:durableId="705326141">
    <w:abstractNumId w:val="0"/>
  </w:num>
  <w:num w:numId="5" w16cid:durableId="1429156626">
    <w:abstractNumId w:val="6"/>
  </w:num>
  <w:num w:numId="6" w16cid:durableId="1991212091">
    <w:abstractNumId w:val="3"/>
  </w:num>
  <w:num w:numId="7" w16cid:durableId="163324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CB"/>
    <w:rsid w:val="00014607"/>
    <w:rsid w:val="000763C9"/>
    <w:rsid w:val="00094ADA"/>
    <w:rsid w:val="000965BE"/>
    <w:rsid w:val="000A050B"/>
    <w:rsid w:val="000B40B1"/>
    <w:rsid w:val="000C4F3D"/>
    <w:rsid w:val="000C7976"/>
    <w:rsid w:val="000C7B2B"/>
    <w:rsid w:val="001011EA"/>
    <w:rsid w:val="00120816"/>
    <w:rsid w:val="00132DBC"/>
    <w:rsid w:val="001531A7"/>
    <w:rsid w:val="00156F6D"/>
    <w:rsid w:val="001575CB"/>
    <w:rsid w:val="00195A5D"/>
    <w:rsid w:val="001B3CFB"/>
    <w:rsid w:val="001D6A40"/>
    <w:rsid w:val="00220816"/>
    <w:rsid w:val="00221EC4"/>
    <w:rsid w:val="0024671B"/>
    <w:rsid w:val="00287059"/>
    <w:rsid w:val="002A184C"/>
    <w:rsid w:val="002C2921"/>
    <w:rsid w:val="00312164"/>
    <w:rsid w:val="003223EC"/>
    <w:rsid w:val="003767C2"/>
    <w:rsid w:val="00395D62"/>
    <w:rsid w:val="003D3C63"/>
    <w:rsid w:val="003E3F81"/>
    <w:rsid w:val="00432356"/>
    <w:rsid w:val="00455C50"/>
    <w:rsid w:val="0049206D"/>
    <w:rsid w:val="004B1E2F"/>
    <w:rsid w:val="004F0182"/>
    <w:rsid w:val="005608F0"/>
    <w:rsid w:val="005623AB"/>
    <w:rsid w:val="005648C8"/>
    <w:rsid w:val="005700C7"/>
    <w:rsid w:val="005C572A"/>
    <w:rsid w:val="005F2F7E"/>
    <w:rsid w:val="005F5A31"/>
    <w:rsid w:val="006209C3"/>
    <w:rsid w:val="00662478"/>
    <w:rsid w:val="0067707A"/>
    <w:rsid w:val="006872AD"/>
    <w:rsid w:val="0069293C"/>
    <w:rsid w:val="006E451E"/>
    <w:rsid w:val="00701457"/>
    <w:rsid w:val="007023BF"/>
    <w:rsid w:val="0070442D"/>
    <w:rsid w:val="00706A95"/>
    <w:rsid w:val="00727EB6"/>
    <w:rsid w:val="007405D0"/>
    <w:rsid w:val="0075718C"/>
    <w:rsid w:val="00773A0B"/>
    <w:rsid w:val="00775D0D"/>
    <w:rsid w:val="007B2746"/>
    <w:rsid w:val="00802CD8"/>
    <w:rsid w:val="008145A2"/>
    <w:rsid w:val="0085103A"/>
    <w:rsid w:val="0085649B"/>
    <w:rsid w:val="00894231"/>
    <w:rsid w:val="008D1BD9"/>
    <w:rsid w:val="00917FE2"/>
    <w:rsid w:val="00930CFD"/>
    <w:rsid w:val="009528C5"/>
    <w:rsid w:val="009533D2"/>
    <w:rsid w:val="009A3260"/>
    <w:rsid w:val="009B29AD"/>
    <w:rsid w:val="009B5624"/>
    <w:rsid w:val="009D0A6F"/>
    <w:rsid w:val="009D32A7"/>
    <w:rsid w:val="009E1AF4"/>
    <w:rsid w:val="00A127F5"/>
    <w:rsid w:val="00A20177"/>
    <w:rsid w:val="00A26C7B"/>
    <w:rsid w:val="00A65C1D"/>
    <w:rsid w:val="00AF6A98"/>
    <w:rsid w:val="00AF6BD1"/>
    <w:rsid w:val="00B20210"/>
    <w:rsid w:val="00B2581D"/>
    <w:rsid w:val="00B6694E"/>
    <w:rsid w:val="00B70F2B"/>
    <w:rsid w:val="00B82CF0"/>
    <w:rsid w:val="00B8532A"/>
    <w:rsid w:val="00BA5A52"/>
    <w:rsid w:val="00BE16D2"/>
    <w:rsid w:val="00C42DA1"/>
    <w:rsid w:val="00C63046"/>
    <w:rsid w:val="00CA142F"/>
    <w:rsid w:val="00CE192B"/>
    <w:rsid w:val="00CE507F"/>
    <w:rsid w:val="00D12672"/>
    <w:rsid w:val="00D34487"/>
    <w:rsid w:val="00D73F24"/>
    <w:rsid w:val="00D7788B"/>
    <w:rsid w:val="00D819D3"/>
    <w:rsid w:val="00D83F4B"/>
    <w:rsid w:val="00D879C9"/>
    <w:rsid w:val="00D947A9"/>
    <w:rsid w:val="00E03A44"/>
    <w:rsid w:val="00E2176B"/>
    <w:rsid w:val="00E50A3A"/>
    <w:rsid w:val="00E54E19"/>
    <w:rsid w:val="00E71996"/>
    <w:rsid w:val="00E92E3C"/>
    <w:rsid w:val="00F35BAA"/>
    <w:rsid w:val="00FB58E9"/>
    <w:rsid w:val="00FB7973"/>
    <w:rsid w:val="00FE72A1"/>
    <w:rsid w:val="05C03114"/>
    <w:rsid w:val="0CE55BF5"/>
    <w:rsid w:val="15761A5D"/>
    <w:rsid w:val="2B5D7ADF"/>
    <w:rsid w:val="38BCD8C7"/>
    <w:rsid w:val="42751C9C"/>
    <w:rsid w:val="6D014AC3"/>
    <w:rsid w:val="7203EFC2"/>
    <w:rsid w:val="735FE8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8A72"/>
  <w15:chartTrackingRefBased/>
  <w15:docId w15:val="{E69A9E64-11AD-4C8E-8E1F-E41746E8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575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575C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575CB"/>
    <w:rPr>
      <w:rFonts w:ascii="Segoe UI" w:hAnsi="Segoe UI" w:cs="Segoe UI"/>
      <w:sz w:val="18"/>
      <w:szCs w:val="18"/>
    </w:rPr>
  </w:style>
  <w:style w:type="paragraph" w:styleId="ListParagraph">
    <w:name w:val="List Paragraph"/>
    <w:basedOn w:val="Normal"/>
    <w:uiPriority w:val="34"/>
    <w:qFormat/>
    <w:rsid w:val="000965BE"/>
    <w:pPr>
      <w:ind w:left="720"/>
      <w:contextualSpacing/>
    </w:pPr>
  </w:style>
  <w:style w:type="character" w:styleId="CommentReference">
    <w:name w:val="annotation reference"/>
    <w:basedOn w:val="DefaultParagraphFont"/>
    <w:uiPriority w:val="99"/>
    <w:semiHidden/>
    <w:unhideWhenUsed/>
    <w:rsid w:val="001D6A40"/>
    <w:rPr>
      <w:sz w:val="16"/>
      <w:szCs w:val="16"/>
    </w:rPr>
  </w:style>
  <w:style w:type="paragraph" w:styleId="CommentText">
    <w:name w:val="annotation text"/>
    <w:basedOn w:val="Normal"/>
    <w:link w:val="CommentTextChar"/>
    <w:uiPriority w:val="99"/>
    <w:semiHidden/>
    <w:unhideWhenUsed/>
    <w:rsid w:val="001D6A40"/>
    <w:pPr>
      <w:spacing w:line="240" w:lineRule="auto"/>
    </w:pPr>
    <w:rPr>
      <w:sz w:val="20"/>
      <w:szCs w:val="20"/>
    </w:rPr>
  </w:style>
  <w:style w:type="character" w:styleId="CommentTextChar" w:customStyle="1">
    <w:name w:val="Comment Text Char"/>
    <w:basedOn w:val="DefaultParagraphFont"/>
    <w:link w:val="CommentText"/>
    <w:uiPriority w:val="99"/>
    <w:semiHidden/>
    <w:rsid w:val="001D6A40"/>
    <w:rPr>
      <w:sz w:val="20"/>
      <w:szCs w:val="20"/>
    </w:rPr>
  </w:style>
  <w:style w:type="paragraph" w:styleId="CommentSubject">
    <w:name w:val="annotation subject"/>
    <w:basedOn w:val="CommentText"/>
    <w:next w:val="CommentText"/>
    <w:link w:val="CommentSubjectChar"/>
    <w:uiPriority w:val="99"/>
    <w:semiHidden/>
    <w:unhideWhenUsed/>
    <w:rsid w:val="001D6A40"/>
    <w:rPr>
      <w:b/>
      <w:bCs/>
    </w:rPr>
  </w:style>
  <w:style w:type="character" w:styleId="CommentSubjectChar" w:customStyle="1">
    <w:name w:val="Comment Subject Char"/>
    <w:basedOn w:val="CommentTextChar"/>
    <w:link w:val="CommentSubject"/>
    <w:uiPriority w:val="99"/>
    <w:semiHidden/>
    <w:rsid w:val="001D6A40"/>
    <w:rPr>
      <w:b/>
      <w:bCs/>
      <w:sz w:val="20"/>
      <w:szCs w:val="20"/>
    </w:rPr>
  </w:style>
  <w:style w:type="character" w:styleId="eop" w:customStyle="1">
    <w:name w:val="eop"/>
    <w:basedOn w:val="DefaultParagraphFont"/>
    <w:rsid w:val="00701457"/>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A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04063">
      <w:bodyDiv w:val="1"/>
      <w:marLeft w:val="0"/>
      <w:marRight w:val="0"/>
      <w:marTop w:val="0"/>
      <w:marBottom w:val="0"/>
      <w:divBdr>
        <w:top w:val="none" w:sz="0" w:space="0" w:color="auto"/>
        <w:left w:val="none" w:sz="0" w:space="0" w:color="auto"/>
        <w:bottom w:val="none" w:sz="0" w:space="0" w:color="auto"/>
        <w:right w:val="none" w:sz="0" w:space="0" w:color="auto"/>
      </w:divBdr>
    </w:div>
    <w:div w:id="17590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mu.edu/assessment/profdevres/workshopsevents.shtm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keithedwards.com/" TargetMode="External" Id="rId10" /><Relationship Type="http://schemas.openxmlformats.org/officeDocument/2006/relationships/numbering" Target="numbering.xml" Id="rId4" /><Relationship Type="http://schemas.openxmlformats.org/officeDocument/2006/relationships/hyperlink" Target="https://www.jmu.edu/assessment/sass/evidence_based_programming.shtml" TargetMode="External" Id="rId9" /><Relationship Type="http://schemas.microsoft.com/office/2020/10/relationships/intelligence" Target="intelligence2.xml" Id="Rf7b5f4e95bb44a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3866CFF524C4A948CA23C13E7F525" ma:contentTypeVersion="11" ma:contentTypeDescription="Create a new document." ma:contentTypeScope="" ma:versionID="7fc8d099249f930757af5ec3f49aa3b4">
  <xsd:schema xmlns:xsd="http://www.w3.org/2001/XMLSchema" xmlns:xs="http://www.w3.org/2001/XMLSchema" xmlns:p="http://schemas.microsoft.com/office/2006/metadata/properties" xmlns:ns3="3043713d-7685-4f35-899b-abc6676a438b" xmlns:ns4="6f78f57d-a620-4bbd-9ace-89643adc4edf" targetNamespace="http://schemas.microsoft.com/office/2006/metadata/properties" ma:root="true" ma:fieldsID="23112eaf085a776b132788eadf130669" ns3:_="" ns4:_="">
    <xsd:import namespace="3043713d-7685-4f35-899b-abc6676a438b"/>
    <xsd:import namespace="6f78f57d-a620-4bbd-9ace-89643adc4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3713d-7685-4f35-899b-abc6676a4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8f57d-a620-4bbd-9ace-89643adc4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D5607-8077-42A7-A8EE-0B402F407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3713d-7685-4f35-899b-abc6676a438b"/>
    <ds:schemaRef ds:uri="6f78f57d-a620-4bbd-9ace-89643adc4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16E0D-264F-4E07-A3DE-4737F7538214}">
  <ds:schemaRefs>
    <ds:schemaRef ds:uri="http://schemas.microsoft.com/sharepoint/v3/contenttype/forms"/>
  </ds:schemaRefs>
</ds:datastoreItem>
</file>

<file path=customXml/itemProps3.xml><?xml version="1.0" encoding="utf-8"?>
<ds:datastoreItem xmlns:ds="http://schemas.openxmlformats.org/officeDocument/2006/customXml" ds:itemID="{80F609FE-4673-4317-8A2B-421212DEFA9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James Madison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Wilson, Saleena - wilsonsv</dc:creator>
  <keywords/>
  <dc:description/>
  <lastModifiedBy>Saleena Wilson</lastModifiedBy>
  <revision>102</revision>
  <dcterms:created xsi:type="dcterms:W3CDTF">2022-11-10T14:22:00.0000000Z</dcterms:created>
  <dcterms:modified xsi:type="dcterms:W3CDTF">2022-12-12T15:53:08.3709267Z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0x010100CF83866CFF524C4A948CA23C13E7F525</vt:lpwstr>
  </property>
</Properties>
</file>