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45E" w:rsidRDefault="0069045E" w:rsidP="0069045E">
      <w:pPr>
        <w:pStyle w:val="BodyTextIndent"/>
        <w:spacing w:before="0" w:beforeAutospacing="0" w:after="0" w:afterAutospacing="0"/>
        <w:ind w:left="0"/>
        <w:jc w:val="center"/>
        <w:rPr>
          <w:rFonts w:ascii="Arial" w:hAnsi="Arial" w:cs="Arial"/>
          <w:b/>
          <w:sz w:val="28"/>
          <w:szCs w:val="28"/>
        </w:rPr>
      </w:pPr>
    </w:p>
    <w:p w:rsidR="0069045E" w:rsidRDefault="0069045E" w:rsidP="0069045E">
      <w:pPr>
        <w:pStyle w:val="BodyTextIndent"/>
        <w:spacing w:before="0" w:beforeAutospacing="0" w:after="0" w:afterAutospacing="0"/>
        <w:ind w:left="0"/>
        <w:jc w:val="center"/>
        <w:rPr>
          <w:rFonts w:ascii="Arial" w:hAnsi="Arial" w:cs="Arial"/>
          <w:b/>
          <w:sz w:val="28"/>
          <w:szCs w:val="28"/>
        </w:rPr>
      </w:pPr>
      <w:r w:rsidRPr="006034A1">
        <w:rPr>
          <w:rFonts w:ascii="Arial" w:hAnsi="Arial" w:cs="Arial"/>
          <w:b/>
          <w:sz w:val="28"/>
          <w:szCs w:val="28"/>
        </w:rPr>
        <w:t>BSL2 Laboratory Closeout – Checklist</w:t>
      </w:r>
    </w:p>
    <w:p w:rsidR="004218F2" w:rsidRPr="004218F2" w:rsidRDefault="004218F2" w:rsidP="004218F2">
      <w:pPr>
        <w:rPr>
          <w:rFonts w:ascii="Helvetica" w:hAnsi="Helvetica"/>
          <w:color w:val="000000"/>
          <w:sz w:val="18"/>
          <w:szCs w:val="18"/>
        </w:rPr>
      </w:pPr>
      <w:r>
        <w:rPr>
          <w:rFonts w:ascii="Arial" w:hAnsi="Arial" w:cs="Arial"/>
          <w:b/>
          <w:sz w:val="28"/>
          <w:szCs w:val="28"/>
        </w:rPr>
        <w:t xml:space="preserve">Adapted from University of VA by the JMU IBC: </w:t>
      </w:r>
      <w:r w:rsidRPr="00433C04">
        <w:rPr>
          <w:rFonts w:ascii="Arial" w:hAnsi="Arial" w:cs="Arial"/>
          <w:b/>
          <w:sz w:val="24"/>
          <w:szCs w:val="24"/>
        </w:rPr>
        <w:t>http://ehs.virginia.edu/Chemical-Safety-Decommission.html</w:t>
      </w:r>
    </w:p>
    <w:p w:rsidR="00291123" w:rsidRDefault="009E5259" w:rsidP="006D6004">
      <w:pPr>
        <w:pStyle w:val="BodyTextIndent"/>
        <w:spacing w:before="0" w:beforeAutospacing="0" w:after="0" w:afterAutospacing="0"/>
        <w:ind w:left="0"/>
        <w:jc w:val="center"/>
        <w:rPr>
          <w:rFonts w:ascii="Arial" w:hAnsi="Arial" w:cs="Arial"/>
          <w:sz w:val="22"/>
          <w:szCs w:val="22"/>
        </w:rPr>
      </w:pPr>
      <w:r>
        <w:rPr>
          <w:rFonts w:ascii="Arial" w:hAnsi="Arial" w:cs="Arial"/>
          <w:sz w:val="22"/>
          <w:szCs w:val="22"/>
        </w:rPr>
        <w:t>ALL b</w:t>
      </w:r>
      <w:r w:rsidR="0069045E" w:rsidRPr="006034A1">
        <w:rPr>
          <w:rFonts w:ascii="Arial" w:hAnsi="Arial" w:cs="Arial"/>
          <w:sz w:val="22"/>
          <w:szCs w:val="22"/>
        </w:rPr>
        <w:t xml:space="preserve">iological materials (i.e. cultures of microorganisms, cell lines, blood, fresh tissue, sharps, </w:t>
      </w:r>
      <w:r w:rsidR="0069045E">
        <w:rPr>
          <w:rFonts w:ascii="Arial" w:hAnsi="Arial" w:cs="Arial"/>
          <w:sz w:val="22"/>
          <w:szCs w:val="22"/>
        </w:rPr>
        <w:t xml:space="preserve">carcasses, </w:t>
      </w:r>
      <w:r w:rsidR="0069045E" w:rsidRPr="006034A1">
        <w:rPr>
          <w:rFonts w:ascii="Arial" w:hAnsi="Arial" w:cs="Arial"/>
          <w:sz w:val="22"/>
          <w:szCs w:val="22"/>
        </w:rPr>
        <w:t>etc.) mus</w:t>
      </w:r>
      <w:r w:rsidR="001143C8">
        <w:rPr>
          <w:rFonts w:ascii="Arial" w:hAnsi="Arial" w:cs="Arial"/>
          <w:sz w:val="22"/>
          <w:szCs w:val="22"/>
        </w:rPr>
        <w:t xml:space="preserve">t be removed </w:t>
      </w:r>
      <w:r w:rsidR="0069045E" w:rsidRPr="00327935">
        <w:rPr>
          <w:rFonts w:ascii="Arial" w:hAnsi="Arial" w:cs="Arial"/>
          <w:b/>
          <w:sz w:val="22"/>
          <w:szCs w:val="22"/>
          <w:u w:val="single"/>
        </w:rPr>
        <w:t>prior</w:t>
      </w:r>
      <w:r w:rsidR="0069045E" w:rsidRPr="006034A1">
        <w:rPr>
          <w:rFonts w:ascii="Arial" w:hAnsi="Arial" w:cs="Arial"/>
          <w:sz w:val="22"/>
          <w:szCs w:val="22"/>
        </w:rPr>
        <w:t xml:space="preserve"> to vacating the laboratory space(s).  This includes </w:t>
      </w:r>
      <w:r w:rsidR="0069045E">
        <w:rPr>
          <w:rFonts w:ascii="Arial" w:hAnsi="Arial" w:cs="Arial"/>
          <w:sz w:val="22"/>
          <w:szCs w:val="22"/>
        </w:rPr>
        <w:t xml:space="preserve">BSL1 or BSL2 </w:t>
      </w:r>
      <w:r w:rsidR="0069045E" w:rsidRPr="006034A1">
        <w:rPr>
          <w:rFonts w:ascii="Arial" w:hAnsi="Arial" w:cs="Arial"/>
          <w:sz w:val="22"/>
          <w:szCs w:val="22"/>
        </w:rPr>
        <w:t xml:space="preserve">materials stored in </w:t>
      </w:r>
      <w:r w:rsidR="001143C8">
        <w:rPr>
          <w:rFonts w:ascii="Arial" w:hAnsi="Arial" w:cs="Arial"/>
          <w:sz w:val="22"/>
          <w:szCs w:val="22"/>
        </w:rPr>
        <w:t xml:space="preserve">any lab spaces, </w:t>
      </w:r>
      <w:r w:rsidR="0069045E" w:rsidRPr="006034A1">
        <w:rPr>
          <w:rFonts w:ascii="Arial" w:hAnsi="Arial" w:cs="Arial"/>
          <w:sz w:val="22"/>
          <w:szCs w:val="22"/>
        </w:rPr>
        <w:t>refrigerators, freezers, incubators and cold rooms.</w:t>
      </w:r>
    </w:p>
    <w:p w:rsidR="009E5259" w:rsidRPr="006D6004" w:rsidRDefault="009E5259" w:rsidP="006D6004">
      <w:pPr>
        <w:pStyle w:val="BodyTextIndent"/>
        <w:spacing w:before="0" w:beforeAutospacing="0" w:after="0" w:afterAutospacing="0"/>
        <w:ind w:left="0"/>
        <w:jc w:val="center"/>
        <w:rPr>
          <w:rFonts w:ascii="Arial" w:hAnsi="Arial" w:cs="Arial"/>
          <w:sz w:val="22"/>
          <w:szCs w:val="22"/>
        </w:rPr>
      </w:pPr>
    </w:p>
    <w:tbl>
      <w:tblPr>
        <w:tblStyle w:val="TableGrid"/>
        <w:tblW w:w="14802" w:type="dxa"/>
        <w:tblInd w:w="-72" w:type="dxa"/>
        <w:tblLayout w:type="fixed"/>
        <w:tblLook w:val="04A0" w:firstRow="1" w:lastRow="0" w:firstColumn="1" w:lastColumn="0" w:noHBand="0" w:noVBand="1"/>
      </w:tblPr>
      <w:tblGrid>
        <w:gridCol w:w="1419"/>
        <w:gridCol w:w="3711"/>
        <w:gridCol w:w="9672"/>
      </w:tblGrid>
      <w:tr w:rsidR="006034A1" w:rsidRPr="006034A1" w:rsidTr="001143C8">
        <w:trPr>
          <w:trHeight w:val="759"/>
        </w:trPr>
        <w:tc>
          <w:tcPr>
            <w:tcW w:w="1419" w:type="dxa"/>
            <w:vAlign w:val="center"/>
          </w:tcPr>
          <w:p w:rsidR="006034A1" w:rsidRPr="006034A1" w:rsidRDefault="006034A1" w:rsidP="001143C8">
            <w:pPr>
              <w:rPr>
                <w:rFonts w:ascii="Arial" w:hAnsi="Arial" w:cs="Arial"/>
                <w:b/>
              </w:rPr>
            </w:pPr>
            <w:r w:rsidRPr="006034A1">
              <w:rPr>
                <w:rFonts w:ascii="Arial" w:hAnsi="Arial" w:cs="Arial"/>
                <w:b/>
              </w:rPr>
              <w:t>Completed</w:t>
            </w:r>
          </w:p>
        </w:tc>
        <w:tc>
          <w:tcPr>
            <w:tcW w:w="3711" w:type="dxa"/>
            <w:vAlign w:val="center"/>
          </w:tcPr>
          <w:p w:rsidR="00327935" w:rsidRDefault="00327935" w:rsidP="003D7746">
            <w:pPr>
              <w:jc w:val="center"/>
              <w:rPr>
                <w:rFonts w:ascii="Arial" w:hAnsi="Arial" w:cs="Arial"/>
                <w:b/>
              </w:rPr>
            </w:pPr>
          </w:p>
          <w:p w:rsidR="006034A1" w:rsidRPr="006034A1" w:rsidRDefault="006034A1" w:rsidP="003D7746">
            <w:pPr>
              <w:jc w:val="center"/>
              <w:rPr>
                <w:rFonts w:ascii="Arial" w:hAnsi="Arial" w:cs="Arial"/>
                <w:b/>
              </w:rPr>
            </w:pPr>
            <w:r w:rsidRPr="006034A1">
              <w:rPr>
                <w:rFonts w:ascii="Arial" w:hAnsi="Arial" w:cs="Arial"/>
                <w:b/>
              </w:rPr>
              <w:t>Item</w:t>
            </w:r>
          </w:p>
          <w:p w:rsidR="006034A1" w:rsidRPr="006034A1" w:rsidRDefault="006034A1" w:rsidP="003D7746">
            <w:pPr>
              <w:jc w:val="center"/>
              <w:rPr>
                <w:rFonts w:ascii="Arial" w:hAnsi="Arial" w:cs="Arial"/>
                <w:b/>
              </w:rPr>
            </w:pPr>
          </w:p>
        </w:tc>
        <w:tc>
          <w:tcPr>
            <w:tcW w:w="9672" w:type="dxa"/>
          </w:tcPr>
          <w:p w:rsidR="00327935" w:rsidRDefault="00327935" w:rsidP="00327935">
            <w:pPr>
              <w:jc w:val="center"/>
              <w:rPr>
                <w:rFonts w:ascii="Arial" w:hAnsi="Arial" w:cs="Arial"/>
                <w:b/>
              </w:rPr>
            </w:pPr>
          </w:p>
          <w:p w:rsidR="006034A1" w:rsidRPr="006034A1" w:rsidRDefault="006034A1" w:rsidP="00327935">
            <w:pPr>
              <w:jc w:val="center"/>
              <w:rPr>
                <w:rFonts w:ascii="Arial" w:hAnsi="Arial" w:cs="Arial"/>
                <w:b/>
              </w:rPr>
            </w:pPr>
            <w:r w:rsidRPr="006034A1">
              <w:rPr>
                <w:rFonts w:ascii="Arial" w:hAnsi="Arial" w:cs="Arial"/>
                <w:b/>
              </w:rPr>
              <w:t xml:space="preserve">Biosafety </w:t>
            </w:r>
            <w:r w:rsidR="00F56C05">
              <w:rPr>
                <w:rFonts w:ascii="Arial" w:hAnsi="Arial" w:cs="Arial"/>
                <w:b/>
              </w:rPr>
              <w:t>Information/</w:t>
            </w:r>
            <w:r w:rsidRPr="006034A1">
              <w:rPr>
                <w:rFonts w:ascii="Arial" w:hAnsi="Arial" w:cs="Arial"/>
                <w:b/>
              </w:rPr>
              <w:t>Contacts</w:t>
            </w:r>
          </w:p>
        </w:tc>
      </w:tr>
      <w:tr w:rsidR="006034A1" w:rsidRPr="006034A1" w:rsidTr="001143C8">
        <w:trPr>
          <w:trHeight w:val="1011"/>
        </w:trPr>
        <w:tc>
          <w:tcPr>
            <w:tcW w:w="1419" w:type="dxa"/>
            <w:vAlign w:val="center"/>
          </w:tcPr>
          <w:p w:rsidR="006034A1" w:rsidRPr="00BC2E97" w:rsidRDefault="006034A1" w:rsidP="002E3262">
            <w:pPr>
              <w:jc w:val="center"/>
              <w:rPr>
                <w:rFonts w:ascii="Arial" w:hAnsi="Arial" w:cs="Arial"/>
                <w:b/>
                <w:sz w:val="32"/>
                <w:szCs w:val="32"/>
              </w:rPr>
            </w:pPr>
            <w:r w:rsidRPr="00BC2E97">
              <w:rPr>
                <w:rFonts w:ascii="Arial" w:hAnsi="Arial" w:cs="Arial"/>
                <w:b/>
                <w:sz w:val="32"/>
                <w:szCs w:val="32"/>
              </w:rPr>
              <w:sym w:font="Symbol" w:char="F0FF"/>
            </w:r>
          </w:p>
        </w:tc>
        <w:tc>
          <w:tcPr>
            <w:tcW w:w="3711" w:type="dxa"/>
            <w:vAlign w:val="center"/>
          </w:tcPr>
          <w:p w:rsidR="00BC2E97" w:rsidRPr="00A8754C" w:rsidRDefault="006034A1" w:rsidP="003D7746">
            <w:pPr>
              <w:pStyle w:val="NormalWeb"/>
              <w:jc w:val="center"/>
              <w:rPr>
                <w:rFonts w:ascii="Arial" w:hAnsi="Arial" w:cs="Arial"/>
                <w:b/>
              </w:rPr>
            </w:pPr>
            <w:r w:rsidRPr="00327935">
              <w:rPr>
                <w:rFonts w:ascii="Arial" w:hAnsi="Arial" w:cs="Arial"/>
                <w:b/>
              </w:rPr>
              <w:t>Remove All Biohazardous Waste &amp; Sharps</w:t>
            </w:r>
          </w:p>
        </w:tc>
        <w:tc>
          <w:tcPr>
            <w:tcW w:w="9672" w:type="dxa"/>
          </w:tcPr>
          <w:p w:rsidR="004218F2" w:rsidRDefault="004218F2" w:rsidP="00F130DD">
            <w:pPr>
              <w:pStyle w:val="ListParagraph"/>
              <w:numPr>
                <w:ilvl w:val="0"/>
                <w:numId w:val="3"/>
              </w:numPr>
              <w:rPr>
                <w:rFonts w:ascii="Arial" w:hAnsi="Arial" w:cs="Arial"/>
                <w:sz w:val="20"/>
                <w:szCs w:val="20"/>
              </w:rPr>
            </w:pPr>
            <w:r>
              <w:rPr>
                <w:rFonts w:ascii="Arial" w:hAnsi="Arial" w:cs="Arial"/>
                <w:sz w:val="20"/>
                <w:szCs w:val="20"/>
              </w:rPr>
              <w:t>Contaminated items should be autoclaved and bagged and removed from the lab for pick up.</w:t>
            </w:r>
          </w:p>
          <w:p w:rsidR="00F130DD" w:rsidRPr="00D44D37" w:rsidRDefault="00433C04" w:rsidP="00F130DD">
            <w:pPr>
              <w:pStyle w:val="ListParagraph"/>
              <w:numPr>
                <w:ilvl w:val="0"/>
                <w:numId w:val="3"/>
              </w:numPr>
              <w:rPr>
                <w:rFonts w:ascii="Arial" w:hAnsi="Arial" w:cs="Arial"/>
                <w:sz w:val="20"/>
                <w:szCs w:val="20"/>
              </w:rPr>
            </w:pPr>
            <w:r>
              <w:rPr>
                <w:rFonts w:ascii="Arial" w:hAnsi="Arial" w:cs="Arial"/>
                <w:sz w:val="20"/>
                <w:szCs w:val="20"/>
              </w:rPr>
              <w:t>Sharps Containers</w:t>
            </w:r>
            <w:r w:rsidR="004218F2">
              <w:rPr>
                <w:rFonts w:ascii="Arial" w:hAnsi="Arial" w:cs="Arial"/>
                <w:sz w:val="20"/>
                <w:szCs w:val="20"/>
              </w:rPr>
              <w:t xml:space="preserve"> should also be </w:t>
            </w:r>
            <w:r w:rsidR="00C51289">
              <w:rPr>
                <w:rFonts w:ascii="Arial" w:hAnsi="Arial" w:cs="Arial"/>
                <w:sz w:val="20"/>
                <w:szCs w:val="20"/>
              </w:rPr>
              <w:t>Package</w:t>
            </w:r>
            <w:r w:rsidR="004218F2">
              <w:rPr>
                <w:rFonts w:ascii="Arial" w:hAnsi="Arial" w:cs="Arial"/>
                <w:sz w:val="20"/>
                <w:szCs w:val="20"/>
              </w:rPr>
              <w:t>d</w:t>
            </w:r>
            <w:r w:rsidR="00C51289">
              <w:rPr>
                <w:rFonts w:ascii="Arial" w:hAnsi="Arial" w:cs="Arial"/>
                <w:sz w:val="20"/>
                <w:szCs w:val="20"/>
              </w:rPr>
              <w:t xml:space="preserve"> and Remove</w:t>
            </w:r>
            <w:r w:rsidR="004218F2">
              <w:rPr>
                <w:rFonts w:ascii="Arial" w:hAnsi="Arial" w:cs="Arial"/>
                <w:sz w:val="20"/>
                <w:szCs w:val="20"/>
              </w:rPr>
              <w:t>d</w:t>
            </w:r>
            <w:r w:rsidR="00C51289">
              <w:rPr>
                <w:rFonts w:ascii="Arial" w:hAnsi="Arial" w:cs="Arial"/>
                <w:sz w:val="20"/>
                <w:szCs w:val="20"/>
              </w:rPr>
              <w:t xml:space="preserve"> from lab.</w:t>
            </w:r>
          </w:p>
          <w:p w:rsidR="00433C04" w:rsidRPr="00D44D37" w:rsidRDefault="00433C04" w:rsidP="00C51289">
            <w:pPr>
              <w:rPr>
                <w:rFonts w:ascii="Arial" w:hAnsi="Arial" w:cs="Arial"/>
                <w:sz w:val="20"/>
                <w:szCs w:val="20"/>
              </w:rPr>
            </w:pPr>
          </w:p>
        </w:tc>
      </w:tr>
      <w:tr w:rsidR="006034A1" w:rsidRPr="006034A1" w:rsidTr="001143C8">
        <w:trPr>
          <w:trHeight w:val="945"/>
        </w:trPr>
        <w:tc>
          <w:tcPr>
            <w:tcW w:w="1419" w:type="dxa"/>
            <w:vAlign w:val="center"/>
          </w:tcPr>
          <w:p w:rsidR="006034A1" w:rsidRPr="00BC2E97" w:rsidRDefault="006034A1" w:rsidP="002E3262">
            <w:pPr>
              <w:jc w:val="center"/>
              <w:rPr>
                <w:rFonts w:ascii="Arial" w:hAnsi="Arial" w:cs="Arial"/>
                <w:sz w:val="32"/>
                <w:szCs w:val="32"/>
              </w:rPr>
            </w:pPr>
            <w:r w:rsidRPr="00BC2E97">
              <w:rPr>
                <w:rFonts w:ascii="Arial" w:hAnsi="Arial" w:cs="Arial"/>
                <w:b/>
                <w:sz w:val="32"/>
                <w:szCs w:val="32"/>
              </w:rPr>
              <w:sym w:font="Symbol" w:char="F0FF"/>
            </w:r>
          </w:p>
        </w:tc>
        <w:tc>
          <w:tcPr>
            <w:tcW w:w="3711" w:type="dxa"/>
            <w:vAlign w:val="center"/>
          </w:tcPr>
          <w:p w:rsidR="006034A1" w:rsidRPr="00327935" w:rsidRDefault="006034A1" w:rsidP="003D7746">
            <w:pPr>
              <w:pStyle w:val="Heading2"/>
              <w:spacing w:before="0" w:beforeAutospacing="0" w:after="0" w:afterAutospacing="0"/>
              <w:ind w:left="0"/>
              <w:outlineLvl w:val="1"/>
              <w:rPr>
                <w:rFonts w:ascii="Arial" w:hAnsi="Arial" w:cs="Arial"/>
                <w:sz w:val="24"/>
                <w:szCs w:val="24"/>
              </w:rPr>
            </w:pPr>
            <w:r w:rsidRPr="00327935">
              <w:rPr>
                <w:rFonts w:ascii="Arial" w:hAnsi="Arial" w:cs="Arial"/>
                <w:sz w:val="24"/>
                <w:szCs w:val="24"/>
              </w:rPr>
              <w:t xml:space="preserve">Disinfect All </w:t>
            </w:r>
            <w:r w:rsidR="001143C8">
              <w:rPr>
                <w:rFonts w:ascii="Arial" w:hAnsi="Arial" w:cs="Arial"/>
                <w:sz w:val="24"/>
                <w:szCs w:val="24"/>
              </w:rPr>
              <w:t xml:space="preserve">Biohazardous </w:t>
            </w:r>
            <w:r w:rsidR="00327935">
              <w:rPr>
                <w:rFonts w:ascii="Arial" w:hAnsi="Arial" w:cs="Arial"/>
                <w:sz w:val="24"/>
                <w:szCs w:val="24"/>
              </w:rPr>
              <w:t xml:space="preserve">Work Surfaces &amp; </w:t>
            </w:r>
            <w:r w:rsidRPr="00327935">
              <w:rPr>
                <w:rFonts w:ascii="Arial" w:hAnsi="Arial" w:cs="Arial"/>
                <w:sz w:val="24"/>
                <w:szCs w:val="24"/>
              </w:rPr>
              <w:t>Equipment</w:t>
            </w:r>
          </w:p>
        </w:tc>
        <w:tc>
          <w:tcPr>
            <w:tcW w:w="9672" w:type="dxa"/>
          </w:tcPr>
          <w:p w:rsidR="003D7746" w:rsidRDefault="008263FA" w:rsidP="00D44D37">
            <w:pPr>
              <w:pStyle w:val="ListParagraph"/>
              <w:numPr>
                <w:ilvl w:val="0"/>
                <w:numId w:val="4"/>
              </w:numPr>
              <w:rPr>
                <w:rFonts w:ascii="Arial" w:hAnsi="Arial" w:cs="Arial"/>
                <w:sz w:val="20"/>
                <w:szCs w:val="20"/>
              </w:rPr>
            </w:pPr>
            <w:r w:rsidRPr="00D44D37">
              <w:rPr>
                <w:rFonts w:ascii="Arial" w:hAnsi="Arial" w:cs="Arial"/>
                <w:sz w:val="20"/>
                <w:szCs w:val="20"/>
              </w:rPr>
              <w:t>Use 10% Bleac</w:t>
            </w:r>
            <w:r w:rsidR="004C5005" w:rsidRPr="00D44D37">
              <w:rPr>
                <w:rFonts w:ascii="Arial" w:hAnsi="Arial" w:cs="Arial"/>
                <w:sz w:val="20"/>
                <w:szCs w:val="20"/>
              </w:rPr>
              <w:t>h, Cavi</w:t>
            </w:r>
            <w:r w:rsidR="00D44D37" w:rsidRPr="00D44D37">
              <w:rPr>
                <w:rFonts w:ascii="Arial" w:hAnsi="Arial" w:cs="Arial"/>
                <w:sz w:val="20"/>
                <w:szCs w:val="20"/>
              </w:rPr>
              <w:t>cide, or disinfectants</w:t>
            </w:r>
            <w:r w:rsidR="004C5005" w:rsidRPr="00D44D37">
              <w:rPr>
                <w:rFonts w:ascii="Arial" w:hAnsi="Arial" w:cs="Arial"/>
                <w:sz w:val="20"/>
                <w:szCs w:val="20"/>
              </w:rPr>
              <w:t xml:space="preserve"> </w:t>
            </w:r>
            <w:r w:rsidRPr="00D44D37">
              <w:rPr>
                <w:rFonts w:ascii="Arial" w:hAnsi="Arial" w:cs="Arial"/>
                <w:sz w:val="20"/>
                <w:szCs w:val="20"/>
              </w:rPr>
              <w:t>listed in your IBC protocol</w:t>
            </w:r>
            <w:r w:rsidR="00D44D37" w:rsidRPr="00D44D37">
              <w:rPr>
                <w:rFonts w:ascii="Arial" w:hAnsi="Arial" w:cs="Arial"/>
                <w:sz w:val="20"/>
                <w:szCs w:val="20"/>
              </w:rPr>
              <w:t xml:space="preserve"> for:  </w:t>
            </w:r>
            <w:r w:rsidRPr="00D44D37">
              <w:rPr>
                <w:rFonts w:ascii="Arial" w:hAnsi="Arial" w:cs="Arial"/>
                <w:sz w:val="20"/>
                <w:szCs w:val="20"/>
              </w:rPr>
              <w:t>BSCs</w:t>
            </w:r>
            <w:r w:rsidR="00327935" w:rsidRPr="00D44D37">
              <w:rPr>
                <w:rFonts w:ascii="Arial" w:hAnsi="Arial" w:cs="Arial"/>
                <w:sz w:val="20"/>
                <w:szCs w:val="20"/>
              </w:rPr>
              <w:t xml:space="preserve">, </w:t>
            </w:r>
            <w:r w:rsidR="00715E1B" w:rsidRPr="00D44D37">
              <w:rPr>
                <w:rFonts w:ascii="Arial" w:hAnsi="Arial" w:cs="Arial"/>
                <w:sz w:val="20"/>
                <w:szCs w:val="20"/>
              </w:rPr>
              <w:t>i</w:t>
            </w:r>
            <w:r w:rsidRPr="00D44D37">
              <w:rPr>
                <w:rFonts w:ascii="Arial" w:hAnsi="Arial" w:cs="Arial"/>
                <w:sz w:val="20"/>
                <w:szCs w:val="20"/>
              </w:rPr>
              <w:t>ncubators (drain H20)</w:t>
            </w:r>
            <w:r w:rsidR="00327935" w:rsidRPr="00D44D37">
              <w:rPr>
                <w:rFonts w:ascii="Arial" w:hAnsi="Arial" w:cs="Arial"/>
                <w:sz w:val="20"/>
                <w:szCs w:val="20"/>
              </w:rPr>
              <w:t xml:space="preserve">, </w:t>
            </w:r>
            <w:r w:rsidR="00715E1B" w:rsidRPr="00D44D37">
              <w:rPr>
                <w:rFonts w:ascii="Arial" w:hAnsi="Arial" w:cs="Arial"/>
                <w:sz w:val="20"/>
                <w:szCs w:val="20"/>
              </w:rPr>
              <w:t>c</w:t>
            </w:r>
            <w:r w:rsidRPr="00D44D37">
              <w:rPr>
                <w:rFonts w:ascii="Arial" w:hAnsi="Arial" w:cs="Arial"/>
                <w:sz w:val="20"/>
                <w:szCs w:val="20"/>
              </w:rPr>
              <w:t>entrifuges</w:t>
            </w:r>
            <w:r w:rsidR="00327935" w:rsidRPr="00D44D37">
              <w:rPr>
                <w:rFonts w:ascii="Arial" w:hAnsi="Arial" w:cs="Arial"/>
                <w:sz w:val="20"/>
                <w:szCs w:val="20"/>
              </w:rPr>
              <w:t xml:space="preserve">, </w:t>
            </w:r>
            <w:r w:rsidR="00715E1B" w:rsidRPr="00D44D37">
              <w:rPr>
                <w:rFonts w:ascii="Arial" w:hAnsi="Arial" w:cs="Arial"/>
                <w:sz w:val="20"/>
                <w:szCs w:val="20"/>
              </w:rPr>
              <w:t>r</w:t>
            </w:r>
            <w:r w:rsidRPr="00D44D37">
              <w:rPr>
                <w:rFonts w:ascii="Arial" w:hAnsi="Arial" w:cs="Arial"/>
                <w:sz w:val="20"/>
                <w:szCs w:val="20"/>
              </w:rPr>
              <w:t>e</w:t>
            </w:r>
            <w:r w:rsidR="00715E1B" w:rsidRPr="00D44D37">
              <w:rPr>
                <w:rFonts w:ascii="Arial" w:hAnsi="Arial" w:cs="Arial"/>
                <w:sz w:val="20"/>
                <w:szCs w:val="20"/>
              </w:rPr>
              <w:t>frigerators, f</w:t>
            </w:r>
            <w:r w:rsidRPr="00D44D37">
              <w:rPr>
                <w:rFonts w:ascii="Arial" w:hAnsi="Arial" w:cs="Arial"/>
                <w:sz w:val="20"/>
                <w:szCs w:val="20"/>
              </w:rPr>
              <w:t>reezers</w:t>
            </w:r>
            <w:r w:rsidR="00327935" w:rsidRPr="00D44D37">
              <w:rPr>
                <w:rFonts w:ascii="Arial" w:hAnsi="Arial" w:cs="Arial"/>
                <w:sz w:val="20"/>
                <w:szCs w:val="20"/>
              </w:rPr>
              <w:t>,</w:t>
            </w:r>
            <w:r w:rsidR="0069045E">
              <w:rPr>
                <w:rFonts w:ascii="Arial" w:hAnsi="Arial" w:cs="Arial"/>
                <w:sz w:val="20"/>
                <w:szCs w:val="20"/>
              </w:rPr>
              <w:t xml:space="preserve"> water baths </w:t>
            </w:r>
            <w:r w:rsidR="00327935" w:rsidRPr="00D44D37">
              <w:rPr>
                <w:rFonts w:ascii="Arial" w:hAnsi="Arial" w:cs="Arial"/>
                <w:sz w:val="20"/>
                <w:szCs w:val="20"/>
              </w:rPr>
              <w:t xml:space="preserve">&amp; </w:t>
            </w:r>
            <w:r w:rsidR="0069045E">
              <w:rPr>
                <w:rFonts w:ascii="Arial" w:hAnsi="Arial" w:cs="Arial"/>
                <w:sz w:val="20"/>
                <w:szCs w:val="20"/>
              </w:rPr>
              <w:t xml:space="preserve">any </w:t>
            </w:r>
            <w:r w:rsidR="00715E1B" w:rsidRPr="00D44D37">
              <w:rPr>
                <w:rFonts w:ascii="Arial" w:hAnsi="Arial" w:cs="Arial"/>
                <w:sz w:val="20"/>
                <w:szCs w:val="20"/>
              </w:rPr>
              <w:t>other small</w:t>
            </w:r>
            <w:r w:rsidRPr="00D44D37">
              <w:rPr>
                <w:rFonts w:ascii="Arial" w:hAnsi="Arial" w:cs="Arial"/>
                <w:sz w:val="20"/>
                <w:szCs w:val="20"/>
              </w:rPr>
              <w:t xml:space="preserve"> equipment</w:t>
            </w:r>
            <w:r w:rsidR="000D462F">
              <w:rPr>
                <w:rFonts w:ascii="Arial" w:hAnsi="Arial" w:cs="Arial"/>
                <w:sz w:val="20"/>
                <w:szCs w:val="20"/>
              </w:rPr>
              <w:t xml:space="preserve"> labeled and/or used for biohazardous work.</w:t>
            </w:r>
          </w:p>
          <w:p w:rsidR="00A8754C" w:rsidRPr="006D6004" w:rsidRDefault="005C15A1" w:rsidP="003D7746">
            <w:pPr>
              <w:pStyle w:val="ListParagraph"/>
              <w:numPr>
                <w:ilvl w:val="0"/>
                <w:numId w:val="4"/>
              </w:numPr>
              <w:rPr>
                <w:rStyle w:val="Hyperlink"/>
                <w:rFonts w:ascii="Arial" w:hAnsi="Arial" w:cs="Arial"/>
                <w:color w:val="auto"/>
                <w:sz w:val="20"/>
                <w:szCs w:val="20"/>
                <w:u w:val="none"/>
              </w:rPr>
            </w:pPr>
            <w:r>
              <w:rPr>
                <w:rFonts w:ascii="Arial" w:hAnsi="Arial" w:cs="Arial"/>
                <w:sz w:val="20"/>
                <w:szCs w:val="20"/>
              </w:rPr>
              <w:t>For more information</w:t>
            </w:r>
            <w:r w:rsidR="003D7746">
              <w:rPr>
                <w:rFonts w:ascii="Arial" w:hAnsi="Arial" w:cs="Arial"/>
                <w:sz w:val="20"/>
                <w:szCs w:val="20"/>
              </w:rPr>
              <w:t xml:space="preserve"> see</w:t>
            </w:r>
            <w:r>
              <w:rPr>
                <w:rFonts w:ascii="Arial" w:hAnsi="Arial" w:cs="Arial"/>
                <w:sz w:val="20"/>
                <w:szCs w:val="20"/>
              </w:rPr>
              <w:t xml:space="preserve"> </w:t>
            </w:r>
            <w:hyperlink r:id="rId5" w:history="1">
              <w:r w:rsidR="003D7746">
                <w:rPr>
                  <w:rStyle w:val="Hyperlink"/>
                  <w:rFonts w:ascii="Arial" w:hAnsi="Arial" w:cs="Arial"/>
                  <w:sz w:val="20"/>
                  <w:szCs w:val="20"/>
                </w:rPr>
                <w:t>Disinf</w:t>
              </w:r>
              <w:r w:rsidR="003D7746">
                <w:rPr>
                  <w:rStyle w:val="Hyperlink"/>
                  <w:rFonts w:ascii="Arial" w:hAnsi="Arial" w:cs="Arial"/>
                  <w:sz w:val="20"/>
                  <w:szCs w:val="20"/>
                </w:rPr>
                <w:t>e</w:t>
              </w:r>
              <w:r w:rsidR="003D7746">
                <w:rPr>
                  <w:rStyle w:val="Hyperlink"/>
                  <w:rFonts w:ascii="Arial" w:hAnsi="Arial" w:cs="Arial"/>
                  <w:sz w:val="20"/>
                  <w:szCs w:val="20"/>
                </w:rPr>
                <w:t>ction</w:t>
              </w:r>
            </w:hyperlink>
            <w:r>
              <w:rPr>
                <w:rStyle w:val="Hyperlink"/>
                <w:rFonts w:ascii="Arial" w:hAnsi="Arial" w:cs="Arial"/>
                <w:sz w:val="20"/>
                <w:szCs w:val="20"/>
                <w:u w:val="none"/>
              </w:rPr>
              <w:t>.</w:t>
            </w:r>
          </w:p>
          <w:p w:rsidR="006D6004" w:rsidRPr="00D44D37" w:rsidRDefault="006D6004" w:rsidP="006D6004">
            <w:pPr>
              <w:pStyle w:val="ListParagraph"/>
              <w:ind w:left="360"/>
              <w:rPr>
                <w:rFonts w:ascii="Arial" w:hAnsi="Arial" w:cs="Arial"/>
                <w:sz w:val="20"/>
                <w:szCs w:val="20"/>
              </w:rPr>
            </w:pPr>
          </w:p>
        </w:tc>
      </w:tr>
      <w:tr w:rsidR="006034A1" w:rsidRPr="006034A1" w:rsidTr="001143C8">
        <w:trPr>
          <w:trHeight w:val="959"/>
        </w:trPr>
        <w:tc>
          <w:tcPr>
            <w:tcW w:w="1419" w:type="dxa"/>
            <w:vAlign w:val="center"/>
          </w:tcPr>
          <w:p w:rsidR="006034A1" w:rsidRPr="00BC2E97" w:rsidRDefault="006034A1" w:rsidP="002E3262">
            <w:pPr>
              <w:jc w:val="center"/>
              <w:rPr>
                <w:rFonts w:ascii="Arial" w:hAnsi="Arial" w:cs="Arial"/>
                <w:sz w:val="32"/>
                <w:szCs w:val="32"/>
              </w:rPr>
            </w:pPr>
            <w:r w:rsidRPr="00BC2E97">
              <w:rPr>
                <w:rFonts w:ascii="Arial" w:hAnsi="Arial" w:cs="Arial"/>
                <w:b/>
                <w:sz w:val="32"/>
                <w:szCs w:val="32"/>
              </w:rPr>
              <w:sym w:font="Symbol" w:char="F0FF"/>
            </w:r>
          </w:p>
        </w:tc>
        <w:tc>
          <w:tcPr>
            <w:tcW w:w="3711" w:type="dxa"/>
            <w:vAlign w:val="center"/>
          </w:tcPr>
          <w:p w:rsidR="006034A1" w:rsidRPr="00327935" w:rsidRDefault="006034A1" w:rsidP="003D7746">
            <w:pPr>
              <w:pStyle w:val="Heading1"/>
              <w:jc w:val="center"/>
              <w:outlineLvl w:val="0"/>
            </w:pPr>
            <w:r w:rsidRPr="00327935">
              <w:t>Remove All Biohazard Labels</w:t>
            </w:r>
          </w:p>
        </w:tc>
        <w:tc>
          <w:tcPr>
            <w:tcW w:w="9672" w:type="dxa"/>
          </w:tcPr>
          <w:p w:rsidR="006D6004" w:rsidRPr="00D44D37" w:rsidRDefault="006D6004" w:rsidP="00634F6A">
            <w:pPr>
              <w:pStyle w:val="ListParagraph"/>
              <w:ind w:left="360"/>
              <w:rPr>
                <w:rFonts w:ascii="Arial" w:hAnsi="Arial" w:cs="Arial"/>
                <w:sz w:val="20"/>
                <w:szCs w:val="20"/>
              </w:rPr>
            </w:pPr>
          </w:p>
        </w:tc>
      </w:tr>
      <w:tr w:rsidR="006034A1" w:rsidRPr="006034A1" w:rsidTr="001143C8">
        <w:trPr>
          <w:trHeight w:val="993"/>
        </w:trPr>
        <w:tc>
          <w:tcPr>
            <w:tcW w:w="1419" w:type="dxa"/>
            <w:vAlign w:val="center"/>
          </w:tcPr>
          <w:p w:rsidR="006034A1" w:rsidRPr="00BC2E97" w:rsidRDefault="006034A1" w:rsidP="002E3262">
            <w:pPr>
              <w:jc w:val="center"/>
              <w:rPr>
                <w:rFonts w:ascii="Arial" w:hAnsi="Arial" w:cs="Arial"/>
                <w:sz w:val="32"/>
                <w:szCs w:val="32"/>
              </w:rPr>
            </w:pPr>
            <w:r w:rsidRPr="00BC2E97">
              <w:rPr>
                <w:rFonts w:ascii="Arial" w:hAnsi="Arial" w:cs="Arial"/>
                <w:b/>
                <w:sz w:val="32"/>
                <w:szCs w:val="32"/>
              </w:rPr>
              <w:sym w:font="Symbol" w:char="F0FF"/>
            </w:r>
          </w:p>
        </w:tc>
        <w:tc>
          <w:tcPr>
            <w:tcW w:w="3711" w:type="dxa"/>
            <w:vAlign w:val="center"/>
          </w:tcPr>
          <w:p w:rsidR="006034A1" w:rsidRPr="00327935" w:rsidRDefault="006034A1" w:rsidP="003D7746">
            <w:pPr>
              <w:pStyle w:val="Heading3"/>
              <w:spacing w:before="0" w:beforeAutospacing="0" w:after="0" w:afterAutospacing="0"/>
              <w:jc w:val="center"/>
              <w:outlineLvl w:val="2"/>
              <w:rPr>
                <w:rFonts w:ascii="Arial" w:hAnsi="Arial" w:cs="Arial"/>
                <w:sz w:val="24"/>
                <w:szCs w:val="24"/>
              </w:rPr>
            </w:pPr>
            <w:r w:rsidRPr="00327935">
              <w:rPr>
                <w:rFonts w:ascii="Arial" w:hAnsi="Arial" w:cs="Arial"/>
                <w:sz w:val="24"/>
                <w:szCs w:val="24"/>
              </w:rPr>
              <w:t>Biosafety Cabinet Decontamination &amp; Recertification</w:t>
            </w:r>
          </w:p>
        </w:tc>
        <w:tc>
          <w:tcPr>
            <w:tcW w:w="9672" w:type="dxa"/>
          </w:tcPr>
          <w:p w:rsidR="006D6004" w:rsidRPr="00F56C05" w:rsidRDefault="004218F2" w:rsidP="00C51289">
            <w:pPr>
              <w:pStyle w:val="ListParagraph"/>
              <w:numPr>
                <w:ilvl w:val="0"/>
                <w:numId w:val="7"/>
              </w:numPr>
              <w:rPr>
                <w:rFonts w:ascii="Arial" w:hAnsi="Arial" w:cs="Arial"/>
                <w:sz w:val="20"/>
                <w:szCs w:val="20"/>
              </w:rPr>
            </w:pPr>
            <w:r>
              <w:rPr>
                <w:rFonts w:ascii="Arial" w:hAnsi="Arial" w:cs="Arial"/>
                <w:sz w:val="20"/>
                <w:szCs w:val="20"/>
              </w:rPr>
              <w:t>Wash with 10% bleach or</w:t>
            </w:r>
            <w:r w:rsidR="00F82EDA" w:rsidRPr="00D44D37">
              <w:rPr>
                <w:rFonts w:ascii="Arial" w:hAnsi="Arial" w:cs="Arial"/>
                <w:sz w:val="20"/>
                <w:szCs w:val="20"/>
              </w:rPr>
              <w:t xml:space="preserve"> </w:t>
            </w:r>
            <w:r w:rsidR="00F82EDA" w:rsidRPr="00D44D37">
              <w:rPr>
                <w:rFonts w:ascii="Arial" w:hAnsi="Arial" w:cs="Arial"/>
                <w:sz w:val="20"/>
                <w:szCs w:val="20"/>
              </w:rPr>
              <w:t>or disinfectants listed in your IBC protocol</w:t>
            </w:r>
            <w:r w:rsidR="00F82EDA">
              <w:rPr>
                <w:rFonts w:ascii="Arial" w:hAnsi="Arial" w:cs="Arial"/>
                <w:sz w:val="20"/>
                <w:szCs w:val="20"/>
              </w:rPr>
              <w:t xml:space="preserve">. </w:t>
            </w:r>
            <w:bookmarkStart w:id="0" w:name="_GoBack"/>
            <w:bookmarkEnd w:id="0"/>
            <w:r>
              <w:rPr>
                <w:rFonts w:ascii="Arial" w:hAnsi="Arial" w:cs="Arial"/>
                <w:sz w:val="20"/>
                <w:szCs w:val="20"/>
              </w:rPr>
              <w:t xml:space="preserve"> </w:t>
            </w:r>
            <w:r w:rsidR="00C51289">
              <w:rPr>
                <w:rFonts w:ascii="Arial" w:hAnsi="Arial" w:cs="Arial"/>
                <w:sz w:val="20"/>
                <w:szCs w:val="20"/>
              </w:rPr>
              <w:t>Gas decontamination should be done if the Biosafety cabinet must be moved or a HEPA filter replaced and the cabinet has been used for bacteria, viruses, or spore formers.  It is not needed if the cabinet is used for mammalian cell culture.  It involves hiring an agency such as Precision Air Technologies or Jewel Precision to treat the cabinet with paraformaldehyde.  This is an overnight process and no one can be in the lab during the time the cabinet is being treated.</w:t>
            </w:r>
          </w:p>
        </w:tc>
      </w:tr>
      <w:tr w:rsidR="00F130DD" w:rsidRPr="006034A1" w:rsidTr="000D462F">
        <w:trPr>
          <w:trHeight w:val="1475"/>
        </w:trPr>
        <w:tc>
          <w:tcPr>
            <w:tcW w:w="1419" w:type="dxa"/>
            <w:vAlign w:val="center"/>
          </w:tcPr>
          <w:p w:rsidR="00F130DD" w:rsidRPr="00BC2E97" w:rsidRDefault="00F130DD" w:rsidP="002E3262">
            <w:pPr>
              <w:jc w:val="center"/>
              <w:rPr>
                <w:rFonts w:ascii="Arial" w:hAnsi="Arial" w:cs="Arial"/>
                <w:sz w:val="32"/>
                <w:szCs w:val="32"/>
              </w:rPr>
            </w:pPr>
            <w:r w:rsidRPr="00BC2E97">
              <w:rPr>
                <w:rFonts w:ascii="Arial" w:hAnsi="Arial" w:cs="Arial"/>
                <w:b/>
                <w:sz w:val="32"/>
                <w:szCs w:val="32"/>
              </w:rPr>
              <w:sym w:font="Symbol" w:char="F0FF"/>
            </w:r>
          </w:p>
        </w:tc>
        <w:tc>
          <w:tcPr>
            <w:tcW w:w="3711" w:type="dxa"/>
            <w:vAlign w:val="center"/>
          </w:tcPr>
          <w:p w:rsidR="00F130DD" w:rsidRPr="00327935" w:rsidRDefault="00F130DD" w:rsidP="003D7746">
            <w:pPr>
              <w:pStyle w:val="Heading3"/>
              <w:spacing w:before="0" w:beforeAutospacing="0" w:after="0" w:afterAutospacing="0"/>
              <w:jc w:val="center"/>
              <w:outlineLvl w:val="2"/>
              <w:rPr>
                <w:rFonts w:ascii="Arial" w:hAnsi="Arial" w:cs="Arial"/>
                <w:sz w:val="24"/>
                <w:szCs w:val="24"/>
              </w:rPr>
            </w:pPr>
            <w:r w:rsidRPr="00327935">
              <w:rPr>
                <w:rFonts w:ascii="Arial" w:hAnsi="Arial" w:cs="Arial"/>
                <w:sz w:val="24"/>
                <w:szCs w:val="24"/>
              </w:rPr>
              <w:t xml:space="preserve">Shipping </w:t>
            </w:r>
            <w:r w:rsidR="00336E77">
              <w:rPr>
                <w:rFonts w:ascii="Arial" w:hAnsi="Arial" w:cs="Arial"/>
                <w:sz w:val="24"/>
                <w:szCs w:val="24"/>
              </w:rPr>
              <w:t>or Transferring</w:t>
            </w:r>
            <w:r w:rsidR="00B01713">
              <w:rPr>
                <w:rFonts w:ascii="Arial" w:hAnsi="Arial" w:cs="Arial"/>
                <w:sz w:val="24"/>
                <w:szCs w:val="24"/>
              </w:rPr>
              <w:t xml:space="preserve"> Biological</w:t>
            </w:r>
            <w:r w:rsidR="009E73B2">
              <w:rPr>
                <w:rFonts w:ascii="Arial" w:hAnsi="Arial" w:cs="Arial"/>
                <w:sz w:val="24"/>
                <w:szCs w:val="24"/>
              </w:rPr>
              <w:t xml:space="preserve"> Agents </w:t>
            </w:r>
          </w:p>
        </w:tc>
        <w:tc>
          <w:tcPr>
            <w:tcW w:w="9672" w:type="dxa"/>
          </w:tcPr>
          <w:p w:rsidR="009E5259" w:rsidRPr="009E5259" w:rsidRDefault="004218F2" w:rsidP="009E5259">
            <w:pPr>
              <w:pStyle w:val="ListParagraph"/>
              <w:numPr>
                <w:ilvl w:val="0"/>
                <w:numId w:val="8"/>
              </w:numPr>
              <w:rPr>
                <w:rFonts w:ascii="Arial" w:hAnsi="Arial" w:cs="Arial"/>
                <w:sz w:val="20"/>
                <w:szCs w:val="20"/>
              </w:rPr>
            </w:pPr>
            <w:r>
              <w:rPr>
                <w:rFonts w:ascii="Arial" w:hAnsi="Arial" w:cs="Arial"/>
                <w:sz w:val="20"/>
                <w:szCs w:val="20"/>
              </w:rPr>
              <w:t xml:space="preserve">All must be destroyed or transferred to </w:t>
            </w:r>
            <w:r w:rsidR="000D462F">
              <w:rPr>
                <w:rFonts w:ascii="Arial" w:hAnsi="Arial" w:cs="Arial"/>
                <w:sz w:val="20"/>
                <w:szCs w:val="20"/>
              </w:rPr>
              <w:t>another Principal Investigator approved by</w:t>
            </w:r>
            <w:r>
              <w:rPr>
                <w:rFonts w:ascii="Arial" w:hAnsi="Arial" w:cs="Arial"/>
                <w:sz w:val="20"/>
                <w:szCs w:val="20"/>
              </w:rPr>
              <w:t xml:space="preserve"> the IBC to possess such agents.</w:t>
            </w:r>
          </w:p>
          <w:p w:rsidR="006D6004" w:rsidRPr="000D462F" w:rsidRDefault="004218F2" w:rsidP="000D462F">
            <w:pPr>
              <w:pStyle w:val="ListParagraph"/>
              <w:numPr>
                <w:ilvl w:val="0"/>
                <w:numId w:val="8"/>
              </w:numPr>
              <w:rPr>
                <w:rFonts w:ascii="Arial" w:hAnsi="Arial" w:cs="Arial"/>
                <w:sz w:val="20"/>
                <w:szCs w:val="20"/>
              </w:rPr>
            </w:pPr>
            <w:r>
              <w:rPr>
                <w:rFonts w:ascii="Arial" w:hAnsi="Arial" w:cs="Arial"/>
                <w:sz w:val="20"/>
                <w:szCs w:val="20"/>
              </w:rPr>
              <w:t xml:space="preserve">If this involves </w:t>
            </w:r>
            <w:r w:rsidR="00C51289">
              <w:rPr>
                <w:rFonts w:ascii="Arial" w:hAnsi="Arial" w:cs="Arial"/>
                <w:sz w:val="20"/>
                <w:szCs w:val="20"/>
              </w:rPr>
              <w:t xml:space="preserve">transferring to another University, </w:t>
            </w:r>
            <w:r>
              <w:rPr>
                <w:rFonts w:ascii="Arial" w:hAnsi="Arial" w:cs="Arial"/>
                <w:sz w:val="20"/>
                <w:szCs w:val="20"/>
              </w:rPr>
              <w:t xml:space="preserve"> be aware that  there are specific shipping guidelines to be followed to ensure safe transport.  </w:t>
            </w:r>
            <w:r w:rsidR="003D7746" w:rsidRPr="002E3262">
              <w:rPr>
                <w:rFonts w:ascii="Arial" w:hAnsi="Arial" w:cs="Arial"/>
                <w:sz w:val="20"/>
                <w:szCs w:val="20"/>
              </w:rPr>
              <w:t>For mor</w:t>
            </w:r>
            <w:r w:rsidR="002E3262" w:rsidRPr="002E3262">
              <w:rPr>
                <w:rFonts w:ascii="Arial" w:hAnsi="Arial" w:cs="Arial"/>
                <w:sz w:val="20"/>
                <w:szCs w:val="20"/>
              </w:rPr>
              <w:t>e</w:t>
            </w:r>
            <w:r w:rsidR="003D7746" w:rsidRPr="002E3262">
              <w:rPr>
                <w:rFonts w:ascii="Arial" w:hAnsi="Arial" w:cs="Arial"/>
                <w:sz w:val="20"/>
                <w:szCs w:val="20"/>
              </w:rPr>
              <w:t xml:space="preserve"> information see </w:t>
            </w:r>
            <w:hyperlink r:id="rId6" w:history="1">
              <w:r w:rsidR="003D7746" w:rsidRPr="002E3262">
                <w:rPr>
                  <w:rStyle w:val="Hyperlink"/>
                  <w:rFonts w:ascii="Arial" w:hAnsi="Arial" w:cs="Arial"/>
                  <w:color w:val="0000FF"/>
                  <w:sz w:val="20"/>
                  <w:szCs w:val="20"/>
                </w:rPr>
                <w:t>Shipping Infectious Substances by Air</w:t>
              </w:r>
            </w:hyperlink>
            <w:r w:rsidR="00203BFE">
              <w:rPr>
                <w:rFonts w:ascii="Arial" w:hAnsi="Arial" w:cs="Arial"/>
                <w:sz w:val="20"/>
                <w:szCs w:val="20"/>
              </w:rPr>
              <w:t>.</w:t>
            </w:r>
          </w:p>
        </w:tc>
      </w:tr>
      <w:tr w:rsidR="00BC2E97" w:rsidRPr="006034A1" w:rsidTr="009D4A2E">
        <w:trPr>
          <w:trHeight w:val="944"/>
        </w:trPr>
        <w:tc>
          <w:tcPr>
            <w:tcW w:w="1419" w:type="dxa"/>
            <w:vAlign w:val="center"/>
          </w:tcPr>
          <w:p w:rsidR="00BC2E97" w:rsidRPr="00BC2E97" w:rsidRDefault="00BC2E97" w:rsidP="002E3262">
            <w:pPr>
              <w:jc w:val="center"/>
              <w:rPr>
                <w:rFonts w:ascii="Arial" w:hAnsi="Arial" w:cs="Arial"/>
                <w:sz w:val="32"/>
                <w:szCs w:val="32"/>
              </w:rPr>
            </w:pPr>
            <w:r w:rsidRPr="00BC2E97">
              <w:rPr>
                <w:rFonts w:ascii="Arial" w:hAnsi="Arial" w:cs="Arial"/>
                <w:b/>
                <w:sz w:val="32"/>
                <w:szCs w:val="32"/>
              </w:rPr>
              <w:sym w:font="Symbol" w:char="F0FF"/>
            </w:r>
          </w:p>
        </w:tc>
        <w:tc>
          <w:tcPr>
            <w:tcW w:w="3711" w:type="dxa"/>
            <w:vAlign w:val="center"/>
          </w:tcPr>
          <w:p w:rsidR="00BC2E97" w:rsidRPr="00327935" w:rsidRDefault="004218F2" w:rsidP="003D7746">
            <w:pPr>
              <w:pStyle w:val="Heading3"/>
              <w:spacing w:before="0" w:beforeAutospacing="0" w:after="0" w:afterAutospacing="0"/>
              <w:jc w:val="center"/>
              <w:outlineLvl w:val="2"/>
              <w:rPr>
                <w:rFonts w:ascii="Arial" w:hAnsi="Arial" w:cs="Arial"/>
                <w:sz w:val="24"/>
                <w:szCs w:val="24"/>
              </w:rPr>
            </w:pPr>
            <w:r>
              <w:rPr>
                <w:rFonts w:ascii="Arial" w:hAnsi="Arial" w:cs="Arial"/>
                <w:sz w:val="24"/>
                <w:szCs w:val="24"/>
              </w:rPr>
              <w:t xml:space="preserve">Contact the </w:t>
            </w:r>
            <w:r w:rsidR="00396C44">
              <w:rPr>
                <w:rFonts w:ascii="Arial" w:hAnsi="Arial" w:cs="Arial"/>
                <w:sz w:val="24"/>
                <w:szCs w:val="24"/>
              </w:rPr>
              <w:t xml:space="preserve">IBC </w:t>
            </w:r>
          </w:p>
        </w:tc>
        <w:tc>
          <w:tcPr>
            <w:tcW w:w="9672" w:type="dxa"/>
          </w:tcPr>
          <w:p w:rsidR="00BC2E97" w:rsidRDefault="004218F2" w:rsidP="002E3262">
            <w:pPr>
              <w:pStyle w:val="ListParagraph"/>
              <w:numPr>
                <w:ilvl w:val="0"/>
                <w:numId w:val="7"/>
              </w:numPr>
              <w:rPr>
                <w:rFonts w:ascii="Arial" w:hAnsi="Arial" w:cs="Arial"/>
                <w:sz w:val="20"/>
                <w:szCs w:val="20"/>
              </w:rPr>
            </w:pPr>
            <w:r>
              <w:rPr>
                <w:rFonts w:ascii="Arial" w:hAnsi="Arial" w:cs="Arial"/>
                <w:sz w:val="20"/>
                <w:szCs w:val="20"/>
              </w:rPr>
              <w:t>If moving to a new lab you will need to contact the IBC to add a new room numbers to the protocol.</w:t>
            </w:r>
          </w:p>
          <w:p w:rsidR="004218F2" w:rsidRPr="00D44D37" w:rsidRDefault="00A9469F" w:rsidP="002E3262">
            <w:pPr>
              <w:pStyle w:val="ListParagraph"/>
              <w:numPr>
                <w:ilvl w:val="0"/>
                <w:numId w:val="7"/>
              </w:numPr>
              <w:rPr>
                <w:rFonts w:ascii="Arial" w:hAnsi="Arial" w:cs="Arial"/>
                <w:sz w:val="20"/>
                <w:szCs w:val="20"/>
              </w:rPr>
            </w:pPr>
            <w:r>
              <w:rPr>
                <w:rFonts w:ascii="Arial" w:hAnsi="Arial" w:cs="Arial"/>
                <w:sz w:val="20"/>
                <w:szCs w:val="20"/>
              </w:rPr>
              <w:t>If retiring</w:t>
            </w:r>
            <w:r w:rsidR="004218F2">
              <w:rPr>
                <w:rFonts w:ascii="Arial" w:hAnsi="Arial" w:cs="Arial"/>
                <w:sz w:val="20"/>
                <w:szCs w:val="20"/>
              </w:rPr>
              <w:t xml:space="preserve"> the old lab</w:t>
            </w:r>
            <w:r>
              <w:rPr>
                <w:rFonts w:ascii="Arial" w:hAnsi="Arial" w:cs="Arial"/>
                <w:sz w:val="20"/>
                <w:szCs w:val="20"/>
              </w:rPr>
              <w:t>, appropriate IBC forms must be filed along with this form, a final walk through inspection will be done by the IBC to ensure these tasks were undertaken before the lab is decommissioned.</w:t>
            </w:r>
          </w:p>
        </w:tc>
      </w:tr>
    </w:tbl>
    <w:p w:rsidR="006034A1" w:rsidRDefault="006034A1" w:rsidP="006034A1">
      <w:pPr>
        <w:rPr>
          <w:rFonts w:ascii="Arial" w:hAnsi="Arial" w:cs="Arial"/>
          <w:sz w:val="24"/>
          <w:szCs w:val="24"/>
        </w:rPr>
      </w:pPr>
    </w:p>
    <w:p w:rsidR="004218F2" w:rsidRPr="00D44D37" w:rsidRDefault="004218F2" w:rsidP="00A9469F">
      <w:pPr>
        <w:rPr>
          <w:rFonts w:ascii="Arial" w:hAnsi="Arial" w:cs="Arial"/>
          <w:sz w:val="24"/>
          <w:szCs w:val="24"/>
        </w:rPr>
      </w:pPr>
      <w:r>
        <w:rPr>
          <w:rFonts w:ascii="Arial" w:hAnsi="Arial" w:cs="Arial"/>
          <w:sz w:val="24"/>
          <w:szCs w:val="24"/>
        </w:rPr>
        <w:t xml:space="preserve">Signature of Faculty Member Completing these tasks:____________________________________________________ </w:t>
      </w:r>
    </w:p>
    <w:sectPr w:rsidR="004218F2" w:rsidRPr="00D44D37" w:rsidSect="006034A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664"/>
    <w:multiLevelType w:val="hybridMultilevel"/>
    <w:tmpl w:val="44F84416"/>
    <w:lvl w:ilvl="0" w:tplc="7C368E34">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7C6688"/>
    <w:multiLevelType w:val="hybridMultilevel"/>
    <w:tmpl w:val="6C0EAF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F467F42"/>
    <w:multiLevelType w:val="hybridMultilevel"/>
    <w:tmpl w:val="ADAAD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F81139"/>
    <w:multiLevelType w:val="hybridMultilevel"/>
    <w:tmpl w:val="BA34D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7A3CE5"/>
    <w:multiLevelType w:val="hybridMultilevel"/>
    <w:tmpl w:val="29868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FF32A7"/>
    <w:multiLevelType w:val="hybridMultilevel"/>
    <w:tmpl w:val="C072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43C24"/>
    <w:multiLevelType w:val="hybridMultilevel"/>
    <w:tmpl w:val="F7AE63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C163BD"/>
    <w:multiLevelType w:val="hybridMultilevel"/>
    <w:tmpl w:val="10747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A1"/>
    <w:rsid w:val="000D462F"/>
    <w:rsid w:val="001143C8"/>
    <w:rsid w:val="00183DA5"/>
    <w:rsid w:val="001901B4"/>
    <w:rsid w:val="00203BFE"/>
    <w:rsid w:val="0021360D"/>
    <w:rsid w:val="00291123"/>
    <w:rsid w:val="002D7CCF"/>
    <w:rsid w:val="002E3262"/>
    <w:rsid w:val="00327935"/>
    <w:rsid w:val="00336E77"/>
    <w:rsid w:val="00396C44"/>
    <w:rsid w:val="003D7746"/>
    <w:rsid w:val="004218F2"/>
    <w:rsid w:val="00433C04"/>
    <w:rsid w:val="00490C2B"/>
    <w:rsid w:val="004B6AFA"/>
    <w:rsid w:val="004C5005"/>
    <w:rsid w:val="00510E0A"/>
    <w:rsid w:val="005C15A1"/>
    <w:rsid w:val="006034A1"/>
    <w:rsid w:val="00634F6A"/>
    <w:rsid w:val="00664D43"/>
    <w:rsid w:val="0069045E"/>
    <w:rsid w:val="006D6004"/>
    <w:rsid w:val="00715E1B"/>
    <w:rsid w:val="008263FA"/>
    <w:rsid w:val="00904A47"/>
    <w:rsid w:val="009D4A2E"/>
    <w:rsid w:val="009E5259"/>
    <w:rsid w:val="009E73B2"/>
    <w:rsid w:val="00A8754C"/>
    <w:rsid w:val="00A9469F"/>
    <w:rsid w:val="00AD3227"/>
    <w:rsid w:val="00B01713"/>
    <w:rsid w:val="00B26CC2"/>
    <w:rsid w:val="00B6048B"/>
    <w:rsid w:val="00BC2E97"/>
    <w:rsid w:val="00C51289"/>
    <w:rsid w:val="00D44D37"/>
    <w:rsid w:val="00E80BB7"/>
    <w:rsid w:val="00F130DD"/>
    <w:rsid w:val="00F56C05"/>
    <w:rsid w:val="00F8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B486"/>
  <w15:docId w15:val="{FD3E061A-75C4-0B47-BC78-F633CD63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E97"/>
    <w:pPr>
      <w:keepNext/>
      <w:spacing w:after="0" w:line="240" w:lineRule="auto"/>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6034A1"/>
    <w:pPr>
      <w:keepNext/>
      <w:spacing w:before="100" w:beforeAutospacing="1" w:after="100" w:afterAutospacing="1" w:line="240" w:lineRule="auto"/>
      <w:ind w:left="360"/>
      <w:jc w:val="center"/>
      <w:outlineLvl w:val="1"/>
    </w:pPr>
    <w:rPr>
      <w:rFonts w:eastAsia="Times New Roman" w:cs="Times New Roman"/>
      <w:b/>
      <w:sz w:val="16"/>
      <w:szCs w:val="16"/>
    </w:rPr>
  </w:style>
  <w:style w:type="paragraph" w:styleId="Heading3">
    <w:name w:val="heading 3"/>
    <w:basedOn w:val="Normal"/>
    <w:next w:val="Normal"/>
    <w:link w:val="Heading3Char"/>
    <w:uiPriority w:val="9"/>
    <w:unhideWhenUsed/>
    <w:qFormat/>
    <w:rsid w:val="006034A1"/>
    <w:pPr>
      <w:keepNext/>
      <w:spacing w:before="100" w:beforeAutospacing="1" w:after="100" w:afterAutospacing="1" w:line="240" w:lineRule="auto"/>
      <w:outlineLvl w:val="2"/>
    </w:pPr>
    <w:rPr>
      <w:rFonts w:eastAsia="Times New Roman" w:cstheme="minorHAnsi"/>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4A1"/>
    <w:rPr>
      <w:color w:val="0000FF" w:themeColor="hyperlink"/>
      <w:u w:val="single"/>
    </w:rPr>
  </w:style>
  <w:style w:type="paragraph" w:styleId="BodyTextIndent">
    <w:name w:val="Body Text Indent"/>
    <w:basedOn w:val="Normal"/>
    <w:link w:val="BodyTextIndentChar"/>
    <w:uiPriority w:val="99"/>
    <w:unhideWhenUsed/>
    <w:rsid w:val="006034A1"/>
    <w:pPr>
      <w:spacing w:before="100" w:beforeAutospacing="1" w:after="100" w:afterAutospacing="1" w:line="240" w:lineRule="auto"/>
      <w:ind w:left="750"/>
    </w:pPr>
    <w:rPr>
      <w:rFonts w:ascii="Verdana" w:eastAsia="Times New Roman" w:hAnsi="Verdana" w:cs="Times New Roman"/>
      <w:sz w:val="24"/>
      <w:szCs w:val="24"/>
    </w:rPr>
  </w:style>
  <w:style w:type="character" w:customStyle="1" w:styleId="BodyTextIndentChar">
    <w:name w:val="Body Text Indent Char"/>
    <w:basedOn w:val="DefaultParagraphFont"/>
    <w:link w:val="BodyTextIndent"/>
    <w:uiPriority w:val="99"/>
    <w:rsid w:val="006034A1"/>
    <w:rPr>
      <w:rFonts w:ascii="Verdana" w:eastAsia="Times New Roman" w:hAnsi="Verdana" w:cs="Times New Roman"/>
      <w:sz w:val="24"/>
      <w:szCs w:val="24"/>
    </w:rPr>
  </w:style>
  <w:style w:type="table" w:styleId="TableGrid">
    <w:name w:val="Table Grid"/>
    <w:basedOn w:val="TableNormal"/>
    <w:uiPriority w:val="59"/>
    <w:rsid w:val="00603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34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034A1"/>
    <w:rPr>
      <w:rFonts w:eastAsia="Times New Roman" w:cs="Times New Roman"/>
      <w:b/>
      <w:sz w:val="16"/>
      <w:szCs w:val="16"/>
    </w:rPr>
  </w:style>
  <w:style w:type="character" w:customStyle="1" w:styleId="Heading3Char">
    <w:name w:val="Heading 3 Char"/>
    <w:basedOn w:val="DefaultParagraphFont"/>
    <w:link w:val="Heading3"/>
    <w:uiPriority w:val="9"/>
    <w:rsid w:val="006034A1"/>
    <w:rPr>
      <w:rFonts w:eastAsia="Times New Roman" w:cstheme="minorHAnsi"/>
      <w:b/>
      <w:sz w:val="16"/>
      <w:szCs w:val="16"/>
    </w:rPr>
  </w:style>
  <w:style w:type="paragraph" w:styleId="ListParagraph">
    <w:name w:val="List Paragraph"/>
    <w:basedOn w:val="Normal"/>
    <w:uiPriority w:val="34"/>
    <w:qFormat/>
    <w:rsid w:val="006034A1"/>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130DD"/>
    <w:rPr>
      <w:color w:val="800080" w:themeColor="followedHyperlink"/>
      <w:u w:val="single"/>
    </w:rPr>
  </w:style>
  <w:style w:type="character" w:customStyle="1" w:styleId="Heading1Char">
    <w:name w:val="Heading 1 Char"/>
    <w:basedOn w:val="DefaultParagraphFont"/>
    <w:link w:val="Heading1"/>
    <w:uiPriority w:val="9"/>
    <w:rsid w:val="00BC2E97"/>
    <w:rPr>
      <w:rFonts w:ascii="Arial" w:hAnsi="Arial" w:cs="Arial"/>
      <w:b/>
      <w:sz w:val="24"/>
      <w:szCs w:val="24"/>
    </w:rPr>
  </w:style>
  <w:style w:type="paragraph" w:styleId="BodyText">
    <w:name w:val="Body Text"/>
    <w:basedOn w:val="Normal"/>
    <w:link w:val="BodyTextChar"/>
    <w:uiPriority w:val="99"/>
    <w:unhideWhenUsed/>
    <w:rsid w:val="00D44D37"/>
    <w:pPr>
      <w:jc w:val="center"/>
    </w:pPr>
    <w:rPr>
      <w:rFonts w:ascii="Arial" w:hAnsi="Arial" w:cs="Arial"/>
      <w:b/>
    </w:rPr>
  </w:style>
  <w:style w:type="character" w:customStyle="1" w:styleId="BodyTextChar">
    <w:name w:val="Body Text Char"/>
    <w:basedOn w:val="DefaultParagraphFont"/>
    <w:link w:val="BodyText"/>
    <w:uiPriority w:val="99"/>
    <w:rsid w:val="00D44D3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139">
      <w:bodyDiv w:val="1"/>
      <w:marLeft w:val="0"/>
      <w:marRight w:val="0"/>
      <w:marTop w:val="0"/>
      <w:marBottom w:val="0"/>
      <w:divBdr>
        <w:top w:val="none" w:sz="0" w:space="0" w:color="auto"/>
        <w:left w:val="none" w:sz="0" w:space="0" w:color="auto"/>
        <w:bottom w:val="none" w:sz="0" w:space="0" w:color="auto"/>
        <w:right w:val="none" w:sz="0" w:space="0" w:color="auto"/>
      </w:divBdr>
    </w:div>
    <w:div w:id="24407040">
      <w:bodyDiv w:val="1"/>
      <w:marLeft w:val="0"/>
      <w:marRight w:val="0"/>
      <w:marTop w:val="0"/>
      <w:marBottom w:val="0"/>
      <w:divBdr>
        <w:top w:val="none" w:sz="0" w:space="0" w:color="auto"/>
        <w:left w:val="none" w:sz="0" w:space="0" w:color="auto"/>
        <w:bottom w:val="none" w:sz="0" w:space="0" w:color="auto"/>
        <w:right w:val="none" w:sz="0" w:space="0" w:color="auto"/>
      </w:divBdr>
      <w:divsChild>
        <w:div w:id="1562449805">
          <w:marLeft w:val="0"/>
          <w:marRight w:val="0"/>
          <w:marTop w:val="0"/>
          <w:marBottom w:val="0"/>
          <w:divBdr>
            <w:top w:val="none" w:sz="0" w:space="0" w:color="auto"/>
            <w:left w:val="none" w:sz="0" w:space="0" w:color="auto"/>
            <w:bottom w:val="none" w:sz="0" w:space="0" w:color="auto"/>
            <w:right w:val="none" w:sz="0" w:space="0" w:color="auto"/>
          </w:divBdr>
        </w:div>
        <w:div w:id="56831241">
          <w:marLeft w:val="0"/>
          <w:marRight w:val="0"/>
          <w:marTop w:val="0"/>
          <w:marBottom w:val="0"/>
          <w:divBdr>
            <w:top w:val="none" w:sz="0" w:space="0" w:color="auto"/>
            <w:left w:val="none" w:sz="0" w:space="0" w:color="auto"/>
            <w:bottom w:val="none" w:sz="0" w:space="0" w:color="auto"/>
            <w:right w:val="none" w:sz="0" w:space="0" w:color="auto"/>
          </w:divBdr>
        </w:div>
        <w:div w:id="1451314497">
          <w:marLeft w:val="0"/>
          <w:marRight w:val="0"/>
          <w:marTop w:val="0"/>
          <w:marBottom w:val="0"/>
          <w:divBdr>
            <w:top w:val="none" w:sz="0" w:space="0" w:color="auto"/>
            <w:left w:val="none" w:sz="0" w:space="0" w:color="auto"/>
            <w:bottom w:val="none" w:sz="0" w:space="0" w:color="auto"/>
            <w:right w:val="none" w:sz="0" w:space="0" w:color="auto"/>
          </w:divBdr>
        </w:div>
        <w:div w:id="1619676165">
          <w:marLeft w:val="0"/>
          <w:marRight w:val="0"/>
          <w:marTop w:val="0"/>
          <w:marBottom w:val="0"/>
          <w:divBdr>
            <w:top w:val="none" w:sz="0" w:space="0" w:color="auto"/>
            <w:left w:val="none" w:sz="0" w:space="0" w:color="auto"/>
            <w:bottom w:val="none" w:sz="0" w:space="0" w:color="auto"/>
            <w:right w:val="none" w:sz="0" w:space="0" w:color="auto"/>
          </w:divBdr>
        </w:div>
        <w:div w:id="2126383203">
          <w:marLeft w:val="0"/>
          <w:marRight w:val="0"/>
          <w:marTop w:val="0"/>
          <w:marBottom w:val="0"/>
          <w:divBdr>
            <w:top w:val="none" w:sz="0" w:space="0" w:color="auto"/>
            <w:left w:val="none" w:sz="0" w:space="0" w:color="auto"/>
            <w:bottom w:val="none" w:sz="0" w:space="0" w:color="auto"/>
            <w:right w:val="none" w:sz="0" w:space="0" w:color="auto"/>
          </w:divBdr>
        </w:div>
        <w:div w:id="1121848547">
          <w:marLeft w:val="0"/>
          <w:marRight w:val="0"/>
          <w:marTop w:val="0"/>
          <w:marBottom w:val="0"/>
          <w:divBdr>
            <w:top w:val="none" w:sz="0" w:space="0" w:color="auto"/>
            <w:left w:val="none" w:sz="0" w:space="0" w:color="auto"/>
            <w:bottom w:val="none" w:sz="0" w:space="0" w:color="auto"/>
            <w:right w:val="none" w:sz="0" w:space="0" w:color="auto"/>
          </w:divBdr>
        </w:div>
        <w:div w:id="1881281933">
          <w:marLeft w:val="0"/>
          <w:marRight w:val="0"/>
          <w:marTop w:val="0"/>
          <w:marBottom w:val="0"/>
          <w:divBdr>
            <w:top w:val="none" w:sz="0" w:space="0" w:color="auto"/>
            <w:left w:val="none" w:sz="0" w:space="0" w:color="auto"/>
            <w:bottom w:val="none" w:sz="0" w:space="0" w:color="auto"/>
            <w:right w:val="none" w:sz="0" w:space="0" w:color="auto"/>
          </w:divBdr>
        </w:div>
        <w:div w:id="1344091037">
          <w:marLeft w:val="0"/>
          <w:marRight w:val="0"/>
          <w:marTop w:val="0"/>
          <w:marBottom w:val="0"/>
          <w:divBdr>
            <w:top w:val="none" w:sz="0" w:space="0" w:color="auto"/>
            <w:left w:val="none" w:sz="0" w:space="0" w:color="auto"/>
            <w:bottom w:val="none" w:sz="0" w:space="0" w:color="auto"/>
            <w:right w:val="none" w:sz="0" w:space="0" w:color="auto"/>
          </w:divBdr>
        </w:div>
        <w:div w:id="580067247">
          <w:marLeft w:val="0"/>
          <w:marRight w:val="0"/>
          <w:marTop w:val="0"/>
          <w:marBottom w:val="0"/>
          <w:divBdr>
            <w:top w:val="none" w:sz="0" w:space="0" w:color="auto"/>
            <w:left w:val="none" w:sz="0" w:space="0" w:color="auto"/>
            <w:bottom w:val="none" w:sz="0" w:space="0" w:color="auto"/>
            <w:right w:val="none" w:sz="0" w:space="0" w:color="auto"/>
          </w:divBdr>
        </w:div>
        <w:div w:id="82340227">
          <w:marLeft w:val="0"/>
          <w:marRight w:val="0"/>
          <w:marTop w:val="0"/>
          <w:marBottom w:val="0"/>
          <w:divBdr>
            <w:top w:val="none" w:sz="0" w:space="0" w:color="auto"/>
            <w:left w:val="none" w:sz="0" w:space="0" w:color="auto"/>
            <w:bottom w:val="none" w:sz="0" w:space="0" w:color="auto"/>
            <w:right w:val="none" w:sz="0" w:space="0" w:color="auto"/>
          </w:divBdr>
        </w:div>
        <w:div w:id="2014255597">
          <w:marLeft w:val="0"/>
          <w:marRight w:val="0"/>
          <w:marTop w:val="0"/>
          <w:marBottom w:val="0"/>
          <w:divBdr>
            <w:top w:val="none" w:sz="0" w:space="0" w:color="auto"/>
            <w:left w:val="none" w:sz="0" w:space="0" w:color="auto"/>
            <w:bottom w:val="none" w:sz="0" w:space="0" w:color="auto"/>
            <w:right w:val="none" w:sz="0" w:space="0" w:color="auto"/>
          </w:divBdr>
        </w:div>
        <w:div w:id="940457879">
          <w:marLeft w:val="0"/>
          <w:marRight w:val="0"/>
          <w:marTop w:val="0"/>
          <w:marBottom w:val="0"/>
          <w:divBdr>
            <w:top w:val="none" w:sz="0" w:space="0" w:color="auto"/>
            <w:left w:val="none" w:sz="0" w:space="0" w:color="auto"/>
            <w:bottom w:val="none" w:sz="0" w:space="0" w:color="auto"/>
            <w:right w:val="none" w:sz="0" w:space="0" w:color="auto"/>
          </w:divBdr>
        </w:div>
        <w:div w:id="391537556">
          <w:marLeft w:val="0"/>
          <w:marRight w:val="0"/>
          <w:marTop w:val="0"/>
          <w:marBottom w:val="0"/>
          <w:divBdr>
            <w:top w:val="none" w:sz="0" w:space="0" w:color="auto"/>
            <w:left w:val="none" w:sz="0" w:space="0" w:color="auto"/>
            <w:bottom w:val="none" w:sz="0" w:space="0" w:color="auto"/>
            <w:right w:val="none" w:sz="0" w:space="0" w:color="auto"/>
          </w:divBdr>
        </w:div>
        <w:div w:id="1314529065">
          <w:marLeft w:val="0"/>
          <w:marRight w:val="0"/>
          <w:marTop w:val="0"/>
          <w:marBottom w:val="0"/>
          <w:divBdr>
            <w:top w:val="none" w:sz="0" w:space="0" w:color="auto"/>
            <w:left w:val="none" w:sz="0" w:space="0" w:color="auto"/>
            <w:bottom w:val="none" w:sz="0" w:space="0" w:color="auto"/>
            <w:right w:val="none" w:sz="0" w:space="0" w:color="auto"/>
          </w:divBdr>
        </w:div>
      </w:divsChild>
    </w:div>
    <w:div w:id="19859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s.virginia.edu/biosafety/bio.transport.air.html" TargetMode="External"/><Relationship Id="rId5" Type="http://schemas.openxmlformats.org/officeDocument/2006/relationships/hyperlink" Target="http://www.ehs.virginia.edu/biosafety/bio.disinfec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Ericka Pearce</dc:creator>
  <cp:lastModifiedBy>Microsoft Office User</cp:lastModifiedBy>
  <cp:revision>3</cp:revision>
  <cp:lastPrinted>2018-06-29T15:16:00Z</cp:lastPrinted>
  <dcterms:created xsi:type="dcterms:W3CDTF">2018-06-29T15:02:00Z</dcterms:created>
  <dcterms:modified xsi:type="dcterms:W3CDTF">2018-06-29T15:17:00Z</dcterms:modified>
</cp:coreProperties>
</file>