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3B91" w:rsidRDefault="000F3B91">
      <w:pPr>
        <w:spacing w:before="0" w:after="0" w:line="276" w:lineRule="auto"/>
      </w:pPr>
    </w:p>
    <w:tbl>
      <w:tblPr>
        <w:tblStyle w:val="a"/>
        <w:tblW w:w="9360" w:type="dxa"/>
        <w:tblLayout w:type="fixed"/>
        <w:tblLook w:val="0400" w:firstRow="0" w:lastRow="0" w:firstColumn="0" w:lastColumn="0" w:noHBand="0" w:noVBand="1"/>
      </w:tblPr>
      <w:tblGrid>
        <w:gridCol w:w="8190"/>
        <w:gridCol w:w="1170"/>
      </w:tblGrid>
      <w:tr w:rsidR="000F3B91">
        <w:tc>
          <w:tcPr>
            <w:tcW w:w="8190" w:type="dxa"/>
          </w:tcPr>
          <w:p w:rsidR="000F3B91" w:rsidRDefault="008C0804">
            <w:r>
              <w:rPr>
                <w:b/>
                <w:sz w:val="28"/>
                <w:szCs w:val="28"/>
              </w:rPr>
              <w:t>James Madison University Foundation</w:t>
            </w:r>
          </w:p>
          <w:p w:rsidR="000F3B91" w:rsidRDefault="008C0804">
            <w:r>
              <w:rPr>
                <w:b/>
                <w:sz w:val="28"/>
                <w:szCs w:val="28"/>
              </w:rPr>
              <w:t>Policies and Procedures Manual</w:t>
            </w:r>
          </w:p>
        </w:tc>
        <w:tc>
          <w:tcPr>
            <w:tcW w:w="1170" w:type="dxa"/>
          </w:tcPr>
          <w:p w:rsidR="000F3B91" w:rsidRDefault="008C0804">
            <w:pPr>
              <w:jc w:val="center"/>
            </w:pPr>
            <w:r>
              <w:rPr>
                <w:b/>
                <w:sz w:val="28"/>
                <w:szCs w:val="28"/>
              </w:rPr>
              <w:t>Section</w:t>
            </w:r>
          </w:p>
          <w:p w:rsidR="000F3B91" w:rsidRDefault="009274A0">
            <w:pPr>
              <w:jc w:val="center"/>
            </w:pPr>
            <w:r>
              <w:rPr>
                <w:b/>
                <w:sz w:val="28"/>
                <w:szCs w:val="28"/>
              </w:rPr>
              <w:t>3</w:t>
            </w:r>
            <w:r w:rsidR="008C0804">
              <w:rPr>
                <w:b/>
                <w:sz w:val="28"/>
                <w:szCs w:val="28"/>
              </w:rPr>
              <w:t>0000</w:t>
            </w:r>
          </w:p>
        </w:tc>
      </w:tr>
    </w:tbl>
    <w:p w:rsidR="000F3B91" w:rsidRDefault="009274A0">
      <w:pPr>
        <w:pStyle w:val="Heading1"/>
      </w:pPr>
      <w:r>
        <w:t>302</w:t>
      </w:r>
      <w:r w:rsidR="0017064A">
        <w:t>00</w:t>
      </w:r>
      <w:bookmarkStart w:id="0" w:name="_GoBack"/>
      <w:bookmarkEnd w:id="0"/>
      <w:r w:rsidR="008C0804">
        <w:t xml:space="preserve"> Sponsorship</w:t>
      </w:r>
      <w:r w:rsidR="008F457F">
        <w:t xml:space="preserve"> Policy</w:t>
      </w:r>
    </w:p>
    <w:tbl>
      <w:tblPr>
        <w:tblStyle w:val="a0"/>
        <w:tblW w:w="9352" w:type="dxa"/>
        <w:tblInd w:w="-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2173"/>
        <w:gridCol w:w="7179"/>
      </w:tblGrid>
      <w:tr w:rsidR="000F3B91">
        <w:trPr>
          <w:trHeight w:val="200"/>
        </w:trPr>
        <w:tc>
          <w:tcPr>
            <w:tcW w:w="9352" w:type="dxa"/>
            <w:gridSpan w:val="2"/>
            <w:shd w:val="clear" w:color="auto" w:fill="B2A1C7"/>
            <w:vAlign w:val="bottom"/>
          </w:tcPr>
          <w:p w:rsidR="000F3B91" w:rsidRDefault="000F3B91">
            <w:pPr>
              <w:pStyle w:val="Heading2"/>
            </w:pPr>
          </w:p>
        </w:tc>
      </w:tr>
      <w:tr w:rsidR="000F3B91">
        <w:trPr>
          <w:trHeight w:val="360"/>
        </w:trPr>
        <w:tc>
          <w:tcPr>
            <w:tcW w:w="2173" w:type="dxa"/>
            <w:vAlign w:val="center"/>
          </w:tcPr>
          <w:p w:rsidR="000F3B91" w:rsidRDefault="008C0804">
            <w:r>
              <w:rPr>
                <w:sz w:val="20"/>
                <w:szCs w:val="20"/>
              </w:rPr>
              <w:t xml:space="preserve">Policy Approved By: </w:t>
            </w:r>
          </w:p>
        </w:tc>
        <w:tc>
          <w:tcPr>
            <w:tcW w:w="7179" w:type="dxa"/>
            <w:vAlign w:val="center"/>
          </w:tcPr>
          <w:p w:rsidR="000F3B91" w:rsidRDefault="008C0804">
            <w:r>
              <w:rPr>
                <w:sz w:val="20"/>
                <w:szCs w:val="20"/>
              </w:rPr>
              <w:t xml:space="preserve"> Board of Trustees</w:t>
            </w:r>
          </w:p>
        </w:tc>
      </w:tr>
      <w:tr w:rsidR="000F3B91">
        <w:trPr>
          <w:trHeight w:val="500"/>
        </w:trPr>
        <w:tc>
          <w:tcPr>
            <w:tcW w:w="2173" w:type="dxa"/>
            <w:vAlign w:val="center"/>
          </w:tcPr>
          <w:p w:rsidR="000F3B91" w:rsidRDefault="008C0804">
            <w:r>
              <w:rPr>
                <w:sz w:val="20"/>
                <w:szCs w:val="20"/>
              </w:rPr>
              <w:t>Governance Oversight By:</w:t>
            </w:r>
          </w:p>
        </w:tc>
        <w:tc>
          <w:tcPr>
            <w:tcW w:w="7179" w:type="dxa"/>
            <w:vAlign w:val="center"/>
          </w:tcPr>
          <w:p w:rsidR="000F3B91" w:rsidRDefault="008C0804">
            <w:r>
              <w:rPr>
                <w:sz w:val="20"/>
                <w:szCs w:val="20"/>
              </w:rPr>
              <w:t>Development Committee</w:t>
            </w:r>
          </w:p>
        </w:tc>
      </w:tr>
      <w:tr w:rsidR="000F3B91">
        <w:trPr>
          <w:trHeight w:val="360"/>
        </w:trPr>
        <w:tc>
          <w:tcPr>
            <w:tcW w:w="2173" w:type="dxa"/>
            <w:vAlign w:val="center"/>
          </w:tcPr>
          <w:p w:rsidR="000F3B91" w:rsidRDefault="008C0804">
            <w:r>
              <w:rPr>
                <w:sz w:val="20"/>
                <w:szCs w:val="20"/>
              </w:rPr>
              <w:t>Issuing Date:</w:t>
            </w:r>
          </w:p>
        </w:tc>
        <w:tc>
          <w:tcPr>
            <w:tcW w:w="7179" w:type="dxa"/>
            <w:vAlign w:val="center"/>
          </w:tcPr>
          <w:p w:rsidR="000F3B91" w:rsidRDefault="00113138">
            <w:r>
              <w:rPr>
                <w:sz w:val="20"/>
                <w:szCs w:val="20"/>
              </w:rPr>
              <w:t>05-19-2017</w:t>
            </w:r>
          </w:p>
        </w:tc>
      </w:tr>
      <w:tr w:rsidR="000F3B91">
        <w:trPr>
          <w:trHeight w:val="360"/>
        </w:trPr>
        <w:tc>
          <w:tcPr>
            <w:tcW w:w="2173" w:type="dxa"/>
            <w:vAlign w:val="center"/>
          </w:tcPr>
          <w:p w:rsidR="000F3B91" w:rsidRDefault="008C0804">
            <w:r>
              <w:rPr>
                <w:sz w:val="20"/>
                <w:szCs w:val="20"/>
              </w:rPr>
              <w:t>Revised Date:</w:t>
            </w:r>
          </w:p>
        </w:tc>
        <w:tc>
          <w:tcPr>
            <w:tcW w:w="7179" w:type="dxa"/>
            <w:vAlign w:val="center"/>
          </w:tcPr>
          <w:p w:rsidR="000F3B91" w:rsidRDefault="000F3B91"/>
        </w:tc>
      </w:tr>
      <w:tr w:rsidR="000F3B91">
        <w:trPr>
          <w:trHeight w:val="360"/>
        </w:trPr>
        <w:tc>
          <w:tcPr>
            <w:tcW w:w="2173" w:type="dxa"/>
            <w:vAlign w:val="center"/>
          </w:tcPr>
          <w:p w:rsidR="000F3B91" w:rsidRDefault="008C0804">
            <w:r>
              <w:rPr>
                <w:sz w:val="20"/>
                <w:szCs w:val="20"/>
              </w:rPr>
              <w:t>Responsible Officers:</w:t>
            </w:r>
          </w:p>
        </w:tc>
        <w:tc>
          <w:tcPr>
            <w:tcW w:w="7179" w:type="dxa"/>
            <w:vAlign w:val="center"/>
          </w:tcPr>
          <w:p w:rsidR="000F3B91" w:rsidRDefault="008C0804">
            <w:r>
              <w:rPr>
                <w:sz w:val="20"/>
                <w:szCs w:val="20"/>
              </w:rPr>
              <w:t>JMUF Chief Executive Officer</w:t>
            </w:r>
          </w:p>
        </w:tc>
      </w:tr>
      <w:tr w:rsidR="000F3B91">
        <w:trPr>
          <w:trHeight w:val="360"/>
        </w:trPr>
        <w:tc>
          <w:tcPr>
            <w:tcW w:w="2173" w:type="dxa"/>
            <w:vAlign w:val="center"/>
          </w:tcPr>
          <w:p w:rsidR="000F3B91" w:rsidRDefault="008C0804">
            <w:r>
              <w:rPr>
                <w:sz w:val="20"/>
                <w:szCs w:val="20"/>
              </w:rPr>
              <w:t xml:space="preserve">Related Topics: </w:t>
            </w:r>
          </w:p>
        </w:tc>
        <w:tc>
          <w:tcPr>
            <w:tcW w:w="7179" w:type="dxa"/>
            <w:vAlign w:val="center"/>
          </w:tcPr>
          <w:p w:rsidR="000F3B91" w:rsidRDefault="000F3B91"/>
        </w:tc>
      </w:tr>
    </w:tbl>
    <w:p w:rsidR="000F3B91" w:rsidRDefault="000F3B91"/>
    <w:p w:rsidR="000F3B91" w:rsidRDefault="008C0804">
      <w:pPr>
        <w:spacing w:before="0" w:after="0"/>
      </w:pPr>
      <w:r>
        <w:rPr>
          <w:rFonts w:ascii="Times New Roman" w:eastAsia="Times New Roman" w:hAnsi="Times New Roman" w:cs="Times New Roman"/>
          <w:b/>
          <w:sz w:val="24"/>
          <w:szCs w:val="24"/>
        </w:rPr>
        <w:t>PURPOSE</w:t>
      </w:r>
    </w:p>
    <w:p w:rsidR="000F3B91" w:rsidRDefault="008C0804">
      <w:pPr>
        <w:widowControl/>
        <w:spacing w:before="0" w:after="0"/>
      </w:pPr>
      <w:r>
        <w:rPr>
          <w:rFonts w:ascii="Times New Roman" w:eastAsia="Times New Roman" w:hAnsi="Times New Roman" w:cs="Times New Roman"/>
          <w:sz w:val="24"/>
          <w:szCs w:val="24"/>
        </w:rPr>
        <w:t>The purpose of this policy is to define sponsorships as they relate to the Foundation and to describe certain limitations and procedures that apply to the solicitation of sponsorships.  The policy also establishes processes and provides guidance to University schools, colleges, departments and other University organizations that engage in sponsorship opportunities. When the Foundation and/or University school, college, or department acknowledges a sponsor, it invariably creates an association in the minds of the public between the sponsor and the Foundation/University.  Thus, when the Foundation or University entity is considering entering into a sponsorship relationship, it should consider the compatibility between its mission and image and that of the sponsor.  There is no obligation for the Foundation to accept sponsorship support from persons/businesses/corporate entities whose mission or image is deemed incompatible with the mission or image of the Foundation or University.</w:t>
      </w:r>
    </w:p>
    <w:p w:rsidR="000F3B91" w:rsidRDefault="000F3B91">
      <w:pPr>
        <w:spacing w:before="0" w:after="0"/>
      </w:pPr>
    </w:p>
    <w:p w:rsidR="000F3B91" w:rsidRDefault="008C0804">
      <w:pPr>
        <w:spacing w:before="0" w:after="0"/>
      </w:pPr>
      <w:r>
        <w:rPr>
          <w:rFonts w:ascii="Times New Roman" w:eastAsia="Times New Roman" w:hAnsi="Times New Roman" w:cs="Times New Roman"/>
          <w:b/>
          <w:sz w:val="24"/>
          <w:szCs w:val="24"/>
        </w:rPr>
        <w:t>POLICY</w:t>
      </w:r>
    </w:p>
    <w:p w:rsidR="000F3B91" w:rsidRDefault="008C0804">
      <w:pPr>
        <w:widowControl/>
        <w:spacing w:before="0" w:after="0"/>
      </w:pPr>
      <w:r>
        <w:rPr>
          <w:rFonts w:ascii="Times New Roman" w:eastAsia="Times New Roman" w:hAnsi="Times New Roman" w:cs="Times New Roman"/>
          <w:sz w:val="24"/>
          <w:szCs w:val="24"/>
        </w:rPr>
        <w:t xml:space="preserve">The James Madison University Foundation (JMUF) recognizes that many activities provide potential sources of revenue or other non-financial benefits through legitimate and worthwhile opportunities for sponsorships and other promotional activities.  The Internal Revenue Service defines sponsorships as Qualified Sponsorships and Non-Qualified Sponsorships.  The Foundation </w:t>
      </w:r>
      <w:r>
        <w:rPr>
          <w:rFonts w:ascii="Times New Roman" w:eastAsia="Times New Roman" w:hAnsi="Times New Roman" w:cs="Times New Roman"/>
          <w:b/>
          <w:sz w:val="24"/>
          <w:szCs w:val="24"/>
        </w:rPr>
        <w:t>only</w:t>
      </w:r>
      <w:r>
        <w:rPr>
          <w:rFonts w:ascii="Times New Roman" w:eastAsia="Times New Roman" w:hAnsi="Times New Roman" w:cs="Times New Roman"/>
          <w:sz w:val="24"/>
          <w:szCs w:val="24"/>
        </w:rPr>
        <w:t xml:space="preserve"> accepts those sponsorships that are in accordance with the Internal Revenue Service definition of a </w:t>
      </w:r>
      <w:r>
        <w:rPr>
          <w:rFonts w:ascii="Times New Roman" w:eastAsia="Times New Roman" w:hAnsi="Times New Roman" w:cs="Times New Roman"/>
          <w:b/>
          <w:sz w:val="24"/>
          <w:szCs w:val="24"/>
        </w:rPr>
        <w:t>Qualified Sponsorship</w:t>
      </w:r>
      <w:r>
        <w:rPr>
          <w:rFonts w:ascii="Times New Roman" w:eastAsia="Times New Roman" w:hAnsi="Times New Roman" w:cs="Times New Roman"/>
          <w:sz w:val="24"/>
          <w:szCs w:val="24"/>
        </w:rPr>
        <w:t xml:space="preserve">.  The Foundation </w:t>
      </w:r>
      <w:r>
        <w:rPr>
          <w:rFonts w:ascii="Times New Roman" w:eastAsia="Times New Roman" w:hAnsi="Times New Roman" w:cs="Times New Roman"/>
          <w:b/>
          <w:sz w:val="24"/>
          <w:szCs w:val="24"/>
        </w:rPr>
        <w:t>does not</w:t>
      </w:r>
      <w:r>
        <w:rPr>
          <w:rFonts w:ascii="Times New Roman" w:eastAsia="Times New Roman" w:hAnsi="Times New Roman" w:cs="Times New Roman"/>
          <w:sz w:val="24"/>
          <w:szCs w:val="24"/>
        </w:rPr>
        <w:t xml:space="preserve"> accept sponsorships that are a combination of both </w:t>
      </w:r>
      <w:r>
        <w:rPr>
          <w:rFonts w:ascii="Times New Roman" w:eastAsia="Times New Roman" w:hAnsi="Times New Roman" w:cs="Times New Roman"/>
          <w:b/>
          <w:sz w:val="24"/>
          <w:szCs w:val="24"/>
        </w:rPr>
        <w:t>Qualified</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Non-Qualified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Sponsorships</w:t>
      </w:r>
      <w:r>
        <w:rPr>
          <w:rFonts w:ascii="Times New Roman" w:eastAsia="Times New Roman" w:hAnsi="Times New Roman" w:cs="Times New Roman"/>
          <w:sz w:val="24"/>
          <w:szCs w:val="24"/>
        </w:rPr>
        <w:t>.  James Madison University (University) is responsible for all Non-Qualified Sponsorships as defined by the Internal Revenue Service.</w:t>
      </w:r>
    </w:p>
    <w:p w:rsidR="000F3B91" w:rsidRDefault="000F3B91">
      <w:pPr>
        <w:widowControl/>
        <w:spacing w:before="0" w:after="0"/>
      </w:pPr>
    </w:p>
    <w:p w:rsidR="000F3B91" w:rsidRDefault="008C0804">
      <w:pPr>
        <w:spacing w:before="0" w:after="0"/>
      </w:pPr>
      <w:r>
        <w:rPr>
          <w:rFonts w:ascii="Times New Roman" w:eastAsia="Times New Roman" w:hAnsi="Times New Roman" w:cs="Times New Roman"/>
          <w:b/>
          <w:sz w:val="24"/>
          <w:szCs w:val="24"/>
        </w:rPr>
        <w:t>DEFINITIONS</w:t>
      </w:r>
    </w:p>
    <w:p w:rsidR="000F3B91" w:rsidRDefault="008C0804">
      <w:pPr>
        <w:widowControl/>
        <w:numPr>
          <w:ilvl w:val="0"/>
          <w:numId w:val="1"/>
        </w:numPr>
        <w:spacing w:before="0" w:after="0"/>
        <w:ind w:hanging="360"/>
        <w:contextualSpacing/>
        <w:rPr>
          <w:sz w:val="24"/>
          <w:szCs w:val="24"/>
        </w:rPr>
      </w:pPr>
      <w:r>
        <w:rPr>
          <w:rFonts w:ascii="Times New Roman" w:eastAsia="Times New Roman" w:hAnsi="Times New Roman" w:cs="Times New Roman"/>
          <w:b/>
          <w:sz w:val="24"/>
          <w:szCs w:val="24"/>
        </w:rPr>
        <w:t xml:space="preserve">Advertising </w:t>
      </w:r>
      <w:r>
        <w:rPr>
          <w:rFonts w:ascii="Times New Roman" w:eastAsia="Times New Roman" w:hAnsi="Times New Roman" w:cs="Times New Roman"/>
          <w:sz w:val="24"/>
          <w:szCs w:val="24"/>
        </w:rPr>
        <w:t xml:space="preserve">means any message or other programming material which is broadcast or otherwise transmitted, published, displayed or distributed and which promotes or markets </w:t>
      </w:r>
      <w:r>
        <w:rPr>
          <w:rFonts w:ascii="Times New Roman" w:eastAsia="Times New Roman" w:hAnsi="Times New Roman" w:cs="Times New Roman"/>
          <w:sz w:val="24"/>
          <w:szCs w:val="24"/>
        </w:rPr>
        <w:lastRenderedPageBreak/>
        <w:t>any trade or business, or any service, facility or product.  Advertising the sponsor’s product or services is subject to the substantial return benefits test. Advertising includes:</w:t>
      </w:r>
    </w:p>
    <w:p w:rsidR="000F3B91" w:rsidRDefault="008C0804">
      <w:pPr>
        <w:widowControl/>
        <w:numPr>
          <w:ilvl w:val="1"/>
          <w:numId w:val="1"/>
        </w:numPr>
        <w:spacing w:before="0" w:after="0"/>
        <w:ind w:hanging="360"/>
        <w:contextualSpacing/>
        <w:rPr>
          <w:sz w:val="24"/>
          <w:szCs w:val="24"/>
        </w:rPr>
      </w:pPr>
      <w:r>
        <w:rPr>
          <w:rFonts w:ascii="Times New Roman" w:eastAsia="Times New Roman" w:hAnsi="Times New Roman" w:cs="Times New Roman"/>
          <w:sz w:val="24"/>
          <w:szCs w:val="24"/>
        </w:rPr>
        <w:t>Messages containing qualitative or comparative language (unless such language is an established part of the sponsor’s identity)</w:t>
      </w:r>
    </w:p>
    <w:p w:rsidR="000F3B91" w:rsidRDefault="008C0804">
      <w:pPr>
        <w:widowControl/>
        <w:numPr>
          <w:ilvl w:val="1"/>
          <w:numId w:val="1"/>
        </w:numPr>
        <w:spacing w:before="0" w:after="0"/>
        <w:ind w:hanging="360"/>
        <w:contextualSpacing/>
        <w:rPr>
          <w:sz w:val="24"/>
          <w:szCs w:val="24"/>
        </w:rPr>
      </w:pPr>
      <w:r>
        <w:rPr>
          <w:rFonts w:ascii="Times New Roman" w:eastAsia="Times New Roman" w:hAnsi="Times New Roman" w:cs="Times New Roman"/>
          <w:sz w:val="24"/>
          <w:szCs w:val="24"/>
        </w:rPr>
        <w:t>Price information or other indications of savings or value</w:t>
      </w:r>
    </w:p>
    <w:p w:rsidR="000F3B91" w:rsidRDefault="008C0804">
      <w:pPr>
        <w:widowControl/>
        <w:numPr>
          <w:ilvl w:val="1"/>
          <w:numId w:val="1"/>
        </w:numPr>
        <w:spacing w:before="0" w:after="0"/>
        <w:ind w:hanging="360"/>
        <w:contextualSpacing/>
        <w:rPr>
          <w:sz w:val="24"/>
          <w:szCs w:val="24"/>
        </w:rPr>
      </w:pPr>
      <w:r>
        <w:rPr>
          <w:rFonts w:ascii="Times New Roman" w:eastAsia="Times New Roman" w:hAnsi="Times New Roman" w:cs="Times New Roman"/>
          <w:sz w:val="24"/>
          <w:szCs w:val="24"/>
        </w:rPr>
        <w:t>An endorsement (any statement or depictions which can be reasonably construed to contain or imply preference by the Foundation or University or by any of its departments or employees speaking or acting as representatives of the Foundation or University)</w:t>
      </w:r>
    </w:p>
    <w:p w:rsidR="000F3B91" w:rsidRDefault="008C0804">
      <w:pPr>
        <w:widowControl/>
        <w:numPr>
          <w:ilvl w:val="1"/>
          <w:numId w:val="1"/>
        </w:numPr>
        <w:spacing w:before="0" w:after="0"/>
        <w:ind w:hanging="360"/>
        <w:contextualSpacing/>
        <w:rPr>
          <w:sz w:val="24"/>
          <w:szCs w:val="24"/>
        </w:rPr>
      </w:pPr>
      <w:r>
        <w:rPr>
          <w:rFonts w:ascii="Times New Roman" w:eastAsia="Times New Roman" w:hAnsi="Times New Roman" w:cs="Times New Roman"/>
          <w:sz w:val="24"/>
          <w:szCs w:val="24"/>
        </w:rPr>
        <w:t>An inducement to purchase, sell or use any company, service, facility or product</w:t>
      </w:r>
    </w:p>
    <w:p w:rsidR="000F3B91" w:rsidRDefault="008C0804">
      <w:pPr>
        <w:widowControl/>
        <w:spacing w:before="0" w:after="0"/>
        <w:ind w:left="720"/>
      </w:pPr>
      <w:r>
        <w:rPr>
          <w:rFonts w:ascii="Times New Roman" w:eastAsia="Times New Roman" w:hAnsi="Times New Roman" w:cs="Times New Roman"/>
          <w:b/>
          <w:sz w:val="24"/>
          <w:szCs w:val="24"/>
        </w:rPr>
        <w:t xml:space="preserve">A single message that contains both advertising and an acknowledgment is advertising.  </w:t>
      </w:r>
      <w:r>
        <w:rPr>
          <w:rFonts w:ascii="Times New Roman" w:eastAsia="Times New Roman" w:hAnsi="Times New Roman" w:cs="Times New Roman"/>
          <w:sz w:val="24"/>
          <w:szCs w:val="24"/>
        </w:rPr>
        <w:t>The provisions do not apply to activities conducted by a sponsor on its own.  For example, if a sponsor purchases broadcasting time from a television station to advertise its product during commercial breaks in a sponsored program, the exempt organization’s activities are not thereby converted to advertising.</w:t>
      </w:r>
    </w:p>
    <w:p w:rsidR="000F3B91" w:rsidRDefault="008C0804">
      <w:pPr>
        <w:widowControl/>
        <w:numPr>
          <w:ilvl w:val="0"/>
          <w:numId w:val="1"/>
        </w:numPr>
        <w:spacing w:before="0" w:after="0"/>
        <w:ind w:hanging="360"/>
        <w:contextualSpacing/>
        <w:rPr>
          <w:sz w:val="24"/>
          <w:szCs w:val="24"/>
        </w:rPr>
      </w:pPr>
      <w:r>
        <w:rPr>
          <w:rFonts w:ascii="Times New Roman" w:eastAsia="Times New Roman" w:hAnsi="Times New Roman" w:cs="Times New Roman"/>
          <w:b/>
          <w:sz w:val="24"/>
          <w:szCs w:val="24"/>
        </w:rPr>
        <w:t xml:space="preserve">Exchange Transaction </w:t>
      </w:r>
      <w:r>
        <w:rPr>
          <w:rFonts w:ascii="Times New Roman" w:eastAsia="Times New Roman" w:hAnsi="Times New Roman" w:cs="Times New Roman"/>
          <w:sz w:val="24"/>
          <w:szCs w:val="24"/>
        </w:rPr>
        <w:t>means that the Foundation/University and Sponsor each receives something of equal or approximately the same value.  It is often difficult to distinguish between a sponsorship and an exchange transaction. Examples of exchange transactions would be:</w:t>
      </w:r>
    </w:p>
    <w:p w:rsidR="000F3B91" w:rsidRDefault="008C0804">
      <w:pPr>
        <w:widowControl/>
        <w:numPr>
          <w:ilvl w:val="1"/>
          <w:numId w:val="1"/>
        </w:numPr>
        <w:spacing w:before="0" w:after="0"/>
        <w:ind w:hanging="360"/>
        <w:contextualSpacing/>
        <w:rPr>
          <w:sz w:val="24"/>
          <w:szCs w:val="24"/>
        </w:rPr>
      </w:pPr>
      <w:r>
        <w:rPr>
          <w:rFonts w:ascii="Times New Roman" w:eastAsia="Times New Roman" w:hAnsi="Times New Roman" w:cs="Times New Roman"/>
          <w:sz w:val="24"/>
          <w:szCs w:val="24"/>
        </w:rPr>
        <w:t>Exclusive vendor relationships</w:t>
      </w:r>
    </w:p>
    <w:p w:rsidR="000F3B91" w:rsidRDefault="008C0804">
      <w:pPr>
        <w:widowControl/>
        <w:numPr>
          <w:ilvl w:val="1"/>
          <w:numId w:val="1"/>
        </w:numPr>
        <w:spacing w:before="0" w:after="0"/>
        <w:ind w:hanging="360"/>
        <w:contextualSpacing/>
        <w:rPr>
          <w:sz w:val="24"/>
          <w:szCs w:val="24"/>
        </w:rPr>
      </w:pPr>
      <w:r>
        <w:rPr>
          <w:rFonts w:ascii="Times New Roman" w:eastAsia="Times New Roman" w:hAnsi="Times New Roman" w:cs="Times New Roman"/>
          <w:sz w:val="24"/>
          <w:szCs w:val="24"/>
        </w:rPr>
        <w:t>Advertising</w:t>
      </w:r>
    </w:p>
    <w:p w:rsidR="000F3B91" w:rsidRDefault="008C0804">
      <w:pPr>
        <w:widowControl/>
        <w:numPr>
          <w:ilvl w:val="1"/>
          <w:numId w:val="1"/>
        </w:numPr>
        <w:spacing w:before="0" w:after="0"/>
        <w:ind w:hanging="360"/>
        <w:contextualSpacing/>
        <w:rPr>
          <w:sz w:val="24"/>
          <w:szCs w:val="24"/>
        </w:rPr>
      </w:pPr>
      <w:r>
        <w:rPr>
          <w:rFonts w:ascii="Times New Roman" w:eastAsia="Times New Roman" w:hAnsi="Times New Roman" w:cs="Times New Roman"/>
          <w:sz w:val="24"/>
          <w:szCs w:val="24"/>
        </w:rPr>
        <w:t>Trades such as hotel rooms and transportation - these are considered services</w:t>
      </w:r>
    </w:p>
    <w:p w:rsidR="000F3B91" w:rsidRDefault="008C0804">
      <w:pPr>
        <w:numPr>
          <w:ilvl w:val="1"/>
          <w:numId w:val="1"/>
        </w:numPr>
        <w:spacing w:before="0" w:after="0"/>
        <w:ind w:hanging="360"/>
        <w:contextualSpacing/>
        <w:rPr>
          <w:rFonts w:ascii="Arial" w:eastAsia="Arial" w:hAnsi="Arial" w:cs="Arial"/>
          <w:sz w:val="24"/>
          <w:szCs w:val="24"/>
        </w:rPr>
      </w:pPr>
      <w:r>
        <w:rPr>
          <w:rFonts w:ascii="Times New Roman" w:eastAsia="Times New Roman" w:hAnsi="Times New Roman" w:cs="Times New Roman"/>
          <w:sz w:val="24"/>
          <w:szCs w:val="24"/>
        </w:rPr>
        <w:t>Donation of athletic uniforms, shoes and equipment via exclusive vendor agreements whereby the university receives the items in exchange for refraining from using competitors’ products</w:t>
      </w:r>
    </w:p>
    <w:p w:rsidR="000F3B91" w:rsidRDefault="008C0804">
      <w:pPr>
        <w:widowControl/>
        <w:numPr>
          <w:ilvl w:val="0"/>
          <w:numId w:val="3"/>
        </w:numPr>
        <w:spacing w:before="0" w:after="0"/>
        <w:ind w:hanging="360"/>
        <w:contextualSpacing/>
        <w:rPr>
          <w:sz w:val="24"/>
          <w:szCs w:val="24"/>
        </w:rPr>
      </w:pPr>
      <w:r>
        <w:rPr>
          <w:rFonts w:ascii="Times New Roman" w:eastAsia="Times New Roman" w:hAnsi="Times New Roman" w:cs="Times New Roman"/>
          <w:b/>
          <w:sz w:val="24"/>
          <w:szCs w:val="24"/>
        </w:rPr>
        <w:t xml:space="preserve">Non-Qualified Sponsorship </w:t>
      </w:r>
      <w:r>
        <w:rPr>
          <w:rFonts w:ascii="Times New Roman" w:eastAsia="Times New Roman" w:hAnsi="Times New Roman" w:cs="Times New Roman"/>
          <w:sz w:val="24"/>
          <w:szCs w:val="24"/>
        </w:rPr>
        <w:t>is a sponsorship where the financial or other support does not meet the IRS guidelines for “qualified sponsorship payments” referenced below.  A sponsorship may fall into this category because the Acknowledgment or the Return Benefits go beyond what is permissible to be considered a Qualified Sponsorship.  Non-Qualified Sponsorships are subject to unrelated business income tax (UBIT).</w:t>
      </w:r>
    </w:p>
    <w:p w:rsidR="000F3B91" w:rsidRDefault="008C0804">
      <w:pPr>
        <w:widowControl/>
        <w:numPr>
          <w:ilvl w:val="0"/>
          <w:numId w:val="3"/>
        </w:numPr>
        <w:spacing w:before="0" w:after="0"/>
        <w:ind w:hanging="360"/>
        <w:contextualSpacing/>
        <w:rPr>
          <w:b/>
          <w:sz w:val="24"/>
          <w:szCs w:val="24"/>
          <w:u w:val="single"/>
        </w:rPr>
      </w:pPr>
      <w:r>
        <w:rPr>
          <w:rFonts w:ascii="Times New Roman" w:eastAsia="Times New Roman" w:hAnsi="Times New Roman" w:cs="Times New Roman"/>
          <w:b/>
          <w:sz w:val="24"/>
          <w:szCs w:val="24"/>
        </w:rPr>
        <w:t xml:space="preserve">Qualified Sponsorship </w:t>
      </w:r>
      <w:r>
        <w:rPr>
          <w:rFonts w:ascii="Times New Roman" w:eastAsia="Times New Roman" w:hAnsi="Times New Roman" w:cs="Times New Roman"/>
          <w:sz w:val="24"/>
          <w:szCs w:val="24"/>
        </w:rPr>
        <w:t xml:space="preserve">means any payment or other support made by any person, business or corporation engaged in a trade or business with respect to which there is no arrangement or expectation that such a person/corporation will receive any substantial return benefit other than the use or acknowledgement of the name, logo, or product lines of such person/corporation’s trade or business in connection with the activities of the University or Foundation.  Qualified Sponsorship payments are exempt from unrelated business income tax (UBIT).  </w:t>
      </w:r>
    </w:p>
    <w:p w:rsidR="000F3B91" w:rsidRDefault="008C0804">
      <w:pPr>
        <w:widowControl/>
        <w:numPr>
          <w:ilvl w:val="0"/>
          <w:numId w:val="1"/>
        </w:numPr>
        <w:spacing w:before="0" w:after="0"/>
        <w:ind w:hanging="360"/>
        <w:contextualSpacing/>
        <w:rPr>
          <w:sz w:val="24"/>
          <w:szCs w:val="24"/>
        </w:rPr>
      </w:pPr>
      <w:r>
        <w:rPr>
          <w:rFonts w:ascii="Times New Roman" w:eastAsia="Times New Roman" w:hAnsi="Times New Roman" w:cs="Times New Roman"/>
          <w:b/>
          <w:sz w:val="24"/>
          <w:szCs w:val="24"/>
        </w:rPr>
        <w:t>Return Benefit</w:t>
      </w:r>
      <w:r>
        <w:rPr>
          <w:rFonts w:ascii="Times New Roman" w:eastAsia="Times New Roman" w:hAnsi="Times New Roman" w:cs="Times New Roman"/>
          <w:sz w:val="24"/>
          <w:szCs w:val="24"/>
        </w:rPr>
        <w:t xml:space="preserve"> is any good or service provided to a sponsor in return for the sponsor’s support or sponsorship of a Foundation or University activity, event or program.  Examples may include, but not be limited to, event tickets, food and beverages, T-shirts, mugs, access to University services, and priority to purchase tickets for athletic events.</w:t>
      </w:r>
    </w:p>
    <w:p w:rsidR="000F3B91" w:rsidRDefault="008C0804">
      <w:pPr>
        <w:widowControl/>
        <w:numPr>
          <w:ilvl w:val="0"/>
          <w:numId w:val="7"/>
        </w:numPr>
        <w:spacing w:before="0" w:after="0"/>
        <w:ind w:hanging="360"/>
        <w:contextualSpacing/>
        <w:rPr>
          <w:sz w:val="24"/>
          <w:szCs w:val="24"/>
        </w:rPr>
      </w:pPr>
      <w:r>
        <w:rPr>
          <w:rFonts w:ascii="Times New Roman" w:eastAsia="Times New Roman" w:hAnsi="Times New Roman" w:cs="Times New Roman"/>
          <w:b/>
          <w:sz w:val="24"/>
          <w:szCs w:val="24"/>
        </w:rPr>
        <w:t>Sponsorship</w:t>
      </w:r>
      <w:r>
        <w:rPr>
          <w:rFonts w:ascii="Times New Roman" w:eastAsia="Times New Roman" w:hAnsi="Times New Roman" w:cs="Times New Roman"/>
          <w:sz w:val="24"/>
          <w:szCs w:val="24"/>
        </w:rPr>
        <w:t xml:space="preserve"> means the provision by which an unrelated individual, business or corporation provides money, goods or services to the Foundation or University in support </w:t>
      </w:r>
      <w:r>
        <w:rPr>
          <w:rFonts w:ascii="Times New Roman" w:eastAsia="Times New Roman" w:hAnsi="Times New Roman" w:cs="Times New Roman"/>
          <w:sz w:val="24"/>
          <w:szCs w:val="24"/>
        </w:rPr>
        <w:lastRenderedPageBreak/>
        <w:t xml:space="preserve">of one or more activities, events or programs and in return receives recognition.  The Internal Revenue Service classifies sponsorships as </w:t>
      </w:r>
      <w:r>
        <w:rPr>
          <w:rFonts w:ascii="Times New Roman" w:eastAsia="Times New Roman" w:hAnsi="Times New Roman" w:cs="Times New Roman"/>
          <w:b/>
          <w:sz w:val="24"/>
          <w:szCs w:val="24"/>
        </w:rPr>
        <w:t>Qualified Sponsorships</w:t>
      </w:r>
      <w:r>
        <w:rPr>
          <w:rFonts w:ascii="Times New Roman" w:eastAsia="Times New Roman" w:hAnsi="Times New Roman" w:cs="Times New Roman"/>
          <w:sz w:val="24"/>
          <w:szCs w:val="24"/>
        </w:rPr>
        <w:t xml:space="preserve"> which are not subject to unrelated business income tax (UBIT) and </w:t>
      </w:r>
      <w:r>
        <w:rPr>
          <w:rFonts w:ascii="Times New Roman" w:eastAsia="Times New Roman" w:hAnsi="Times New Roman" w:cs="Times New Roman"/>
          <w:b/>
          <w:sz w:val="24"/>
          <w:szCs w:val="24"/>
        </w:rPr>
        <w:t>Non-Qualified Sponsorships</w:t>
      </w:r>
      <w:r>
        <w:rPr>
          <w:rFonts w:ascii="Times New Roman" w:eastAsia="Times New Roman" w:hAnsi="Times New Roman" w:cs="Times New Roman"/>
          <w:sz w:val="24"/>
          <w:szCs w:val="24"/>
        </w:rPr>
        <w:t xml:space="preserve"> which are subject to UBIT.</w:t>
      </w:r>
    </w:p>
    <w:p w:rsidR="000F3B91" w:rsidRDefault="008C0804">
      <w:pPr>
        <w:widowControl/>
        <w:numPr>
          <w:ilvl w:val="0"/>
          <w:numId w:val="6"/>
        </w:numPr>
        <w:spacing w:before="0" w:after="0"/>
        <w:ind w:hanging="360"/>
        <w:contextualSpacing/>
        <w:rPr>
          <w:sz w:val="24"/>
          <w:szCs w:val="24"/>
        </w:rPr>
      </w:pPr>
      <w:r>
        <w:rPr>
          <w:rFonts w:ascii="Times New Roman" w:eastAsia="Times New Roman" w:hAnsi="Times New Roman" w:cs="Times New Roman"/>
          <w:b/>
          <w:sz w:val="24"/>
          <w:szCs w:val="24"/>
        </w:rPr>
        <w:t>Unrelated Business Income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Tax</w:t>
      </w:r>
      <w:r>
        <w:rPr>
          <w:rFonts w:ascii="Times New Roman" w:eastAsia="Times New Roman" w:hAnsi="Times New Roman" w:cs="Times New Roman"/>
          <w:sz w:val="24"/>
          <w:szCs w:val="24"/>
        </w:rPr>
        <w:t xml:space="preserve"> (UBIT) is generated when a tax exempt organization regularly carries on a trade or business not substantially related to its exempt purpose and is subject to taxation on the income.  Generally, sponsorships are not subject to UBIT if the return benefit to a sponsor is limited to an acknowledgment and other benefits of insubstantial value.  </w:t>
      </w:r>
      <w:r>
        <w:rPr>
          <w:rFonts w:ascii="Times New Roman" w:eastAsia="Times New Roman" w:hAnsi="Times New Roman" w:cs="Times New Roman"/>
          <w:sz w:val="24"/>
          <w:szCs w:val="24"/>
          <w:u w:val="single"/>
        </w:rPr>
        <w:t>Providing tangible benefits to a sponsor has the potential to make the entire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sponsorship payment subject to tax</w:t>
      </w:r>
      <w:r>
        <w:rPr>
          <w:rFonts w:ascii="Times New Roman" w:eastAsia="Times New Roman" w:hAnsi="Times New Roman" w:cs="Times New Roman"/>
          <w:sz w:val="24"/>
          <w:szCs w:val="24"/>
        </w:rPr>
        <w:t>.  The return benefits and acknowledgements must be evaluated to determine if UBIT applies to the sponsorship.</w:t>
      </w:r>
    </w:p>
    <w:p w:rsidR="000F3B91" w:rsidRDefault="008C0804">
      <w:pPr>
        <w:numPr>
          <w:ilvl w:val="0"/>
          <w:numId w:val="6"/>
        </w:numPr>
        <w:spacing w:before="0"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Use or Acknowledgment</w:t>
      </w:r>
      <w:r>
        <w:rPr>
          <w:rFonts w:ascii="Times New Roman" w:eastAsia="Times New Roman" w:hAnsi="Times New Roman" w:cs="Times New Roman"/>
          <w:sz w:val="24"/>
          <w:szCs w:val="24"/>
        </w:rPr>
        <w:t xml:space="preserve"> is the recognition of sponsorship support.   A substantial return</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sz w:val="24"/>
            <w:szCs w:val="24"/>
          </w:rPr>
          <w:t>benefit</w:t>
        </w:r>
      </w:hyperlink>
      <w:r>
        <w:rPr>
          <w:rFonts w:ascii="Times New Roman" w:eastAsia="Times New Roman" w:hAnsi="Times New Roman" w:cs="Times New Roman"/>
          <w:sz w:val="24"/>
          <w:szCs w:val="24"/>
        </w:rPr>
        <w:t xml:space="preserve"> does not include the use or acknowledgment of the</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sz w:val="24"/>
            <w:szCs w:val="24"/>
          </w:rPr>
          <w:t>name</w:t>
        </w:r>
      </w:hyperlink>
      <w:r>
        <w:rPr>
          <w:rFonts w:ascii="Times New Roman" w:eastAsia="Times New Roman" w:hAnsi="Times New Roman" w:cs="Times New Roman"/>
          <w:sz w:val="24"/>
          <w:szCs w:val="24"/>
        </w:rPr>
        <w:t xml:space="preserve"> or logo (or product lines) of the</w:t>
      </w:r>
      <w:hyperlink r:id="rId11">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sponsor's</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sz w:val="24"/>
            <w:szCs w:val="24"/>
          </w:rPr>
          <w:t>trade or business</w:t>
        </w:r>
      </w:hyperlink>
      <w:r>
        <w:rPr>
          <w:rFonts w:ascii="Times New Roman" w:eastAsia="Times New Roman" w:hAnsi="Times New Roman" w:cs="Times New Roman"/>
          <w:sz w:val="24"/>
          <w:szCs w:val="24"/>
        </w:rPr>
        <w:t xml:space="preserve"> in connection with the</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sz w:val="24"/>
            <w:szCs w:val="24"/>
          </w:rPr>
          <w:t>activities</w:t>
        </w:r>
      </w:hyperlink>
      <w:r>
        <w:rPr>
          <w:rFonts w:ascii="Times New Roman" w:eastAsia="Times New Roman" w:hAnsi="Times New Roman" w:cs="Times New Roman"/>
          <w:sz w:val="24"/>
          <w:szCs w:val="24"/>
        </w:rPr>
        <w:t xml:space="preserve"> of the</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sz w:val="24"/>
            <w:szCs w:val="24"/>
          </w:rPr>
          <w:t>exempt organization</w:t>
        </w:r>
      </w:hyperlink>
      <w:r>
        <w:rPr>
          <w:rFonts w:ascii="Times New Roman" w:eastAsia="Times New Roman" w:hAnsi="Times New Roman" w:cs="Times New Roman"/>
          <w:sz w:val="24"/>
          <w:szCs w:val="24"/>
        </w:rPr>
        <w:t>. Use or acknowledgment does not include advertising but may include the following: exclusive sponsorship arrangements; logos and slogans that do not contain qualitative or comparative</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sz w:val="24"/>
            <w:szCs w:val="24"/>
          </w:rPr>
          <w:t>descriptions</w:t>
        </w:r>
      </w:hyperlink>
      <w:r>
        <w:rPr>
          <w:rFonts w:ascii="Times New Roman" w:eastAsia="Times New Roman" w:hAnsi="Times New Roman" w:cs="Times New Roman"/>
          <w:sz w:val="24"/>
          <w:szCs w:val="24"/>
        </w:rPr>
        <w:t xml:space="preserve"> of the</w:t>
      </w:r>
      <w:hyperlink r:id="rId20">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sponsor's products,</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sz w:val="24"/>
            <w:szCs w:val="24"/>
          </w:rPr>
          <w:t>services</w:t>
        </w:r>
      </w:hyperlink>
      <w:r>
        <w:rPr>
          <w:rFonts w:ascii="Times New Roman" w:eastAsia="Times New Roman" w:hAnsi="Times New Roman" w:cs="Times New Roman"/>
          <w:sz w:val="24"/>
          <w:szCs w:val="24"/>
        </w:rPr>
        <w:t>, facilities or company; a list of the</w:t>
      </w:r>
      <w:hyperlink r:id="rId23">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sponsor's locations, telephone numbers, or internet address;</w:t>
      </w:r>
      <w:hyperlink r:id="rId24">
        <w:r>
          <w:rPr>
            <w:rFonts w:ascii="Times New Roman" w:eastAsia="Times New Roman" w:hAnsi="Times New Roman" w:cs="Times New Roman"/>
            <w:sz w:val="24"/>
            <w:szCs w:val="24"/>
          </w:rPr>
          <w:t xml:space="preserve"> </w:t>
        </w:r>
      </w:hyperlink>
      <w:hyperlink r:id="rId25">
        <w:r>
          <w:rPr>
            <w:rFonts w:ascii="Times New Roman" w:eastAsia="Times New Roman" w:hAnsi="Times New Roman" w:cs="Times New Roman"/>
            <w:sz w:val="24"/>
            <w:szCs w:val="24"/>
          </w:rPr>
          <w:t>value</w:t>
        </w:r>
      </w:hyperlink>
      <w:r>
        <w:rPr>
          <w:rFonts w:ascii="Times New Roman" w:eastAsia="Times New Roman" w:hAnsi="Times New Roman" w:cs="Times New Roman"/>
          <w:sz w:val="24"/>
          <w:szCs w:val="24"/>
        </w:rPr>
        <w:t>-neutral descriptions, including displays or visual depictions, of the</w:t>
      </w:r>
      <w:hyperlink r:id="rId26">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sponsor's product-line or</w:t>
      </w:r>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sz w:val="24"/>
            <w:szCs w:val="24"/>
          </w:rPr>
          <w:t>services</w:t>
        </w:r>
      </w:hyperlink>
      <w:r>
        <w:rPr>
          <w:rFonts w:ascii="Times New Roman" w:eastAsia="Times New Roman" w:hAnsi="Times New Roman" w:cs="Times New Roman"/>
          <w:sz w:val="24"/>
          <w:szCs w:val="24"/>
        </w:rPr>
        <w:t>; and the</w:t>
      </w:r>
      <w:hyperlink r:id="rId29">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sponsor's brand or trade</w:t>
      </w:r>
      <w:hyperlink r:id="rId30">
        <w:r>
          <w:rPr>
            <w:rFonts w:ascii="Times New Roman" w:eastAsia="Times New Roman" w:hAnsi="Times New Roman" w:cs="Times New Roman"/>
            <w:sz w:val="24"/>
            <w:szCs w:val="24"/>
          </w:rPr>
          <w:t xml:space="preserve"> </w:t>
        </w:r>
      </w:hyperlink>
      <w:hyperlink r:id="rId31">
        <w:r>
          <w:rPr>
            <w:rFonts w:ascii="Times New Roman" w:eastAsia="Times New Roman" w:hAnsi="Times New Roman" w:cs="Times New Roman"/>
            <w:sz w:val="24"/>
            <w:szCs w:val="24"/>
          </w:rPr>
          <w:t>names</w:t>
        </w:r>
      </w:hyperlink>
      <w:r>
        <w:rPr>
          <w:rFonts w:ascii="Times New Roman" w:eastAsia="Times New Roman" w:hAnsi="Times New Roman" w:cs="Times New Roman"/>
          <w:sz w:val="24"/>
          <w:szCs w:val="24"/>
        </w:rPr>
        <w:t xml:space="preserve"> and product or service listings. Logos or slogans that are an established part of a</w:t>
      </w:r>
      <w:hyperlink r:id="rId32">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sponsor's identity are not considered to contain qualitative or comparative descriptions. Mere display or distribution, whether for free or remuneration, of a</w:t>
      </w:r>
      <w:hyperlink r:id="rId33">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sponsor's product by the</w:t>
      </w:r>
      <w:hyperlink r:id="rId34">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 or the</w:t>
      </w:r>
      <w:hyperlink r:id="rId35">
        <w:r>
          <w:rPr>
            <w:rFonts w:ascii="Times New Roman" w:eastAsia="Times New Roman" w:hAnsi="Times New Roman" w:cs="Times New Roman"/>
            <w:sz w:val="24"/>
            <w:szCs w:val="24"/>
          </w:rPr>
          <w:t xml:space="preserve"> </w:t>
        </w:r>
      </w:hyperlink>
      <w:hyperlink r:id="rId36">
        <w:r>
          <w:rPr>
            <w:rFonts w:ascii="Times New Roman" w:eastAsia="Times New Roman" w:hAnsi="Times New Roman" w:cs="Times New Roman"/>
            <w:sz w:val="24"/>
            <w:szCs w:val="24"/>
          </w:rPr>
          <w:t>exempt organization</w:t>
        </w:r>
      </w:hyperlink>
      <w:r>
        <w:rPr>
          <w:rFonts w:ascii="Times New Roman" w:eastAsia="Times New Roman" w:hAnsi="Times New Roman" w:cs="Times New Roman"/>
          <w:sz w:val="24"/>
          <w:szCs w:val="24"/>
        </w:rPr>
        <w:t xml:space="preserve"> to the general</w:t>
      </w:r>
      <w:hyperlink r:id="rId37">
        <w:r>
          <w:rPr>
            <w:rFonts w:ascii="Times New Roman" w:eastAsia="Times New Roman" w:hAnsi="Times New Roman" w:cs="Times New Roman"/>
            <w:sz w:val="24"/>
            <w:szCs w:val="24"/>
          </w:rPr>
          <w:t xml:space="preserve"> </w:t>
        </w:r>
      </w:hyperlink>
      <w:hyperlink r:id="rId38">
        <w:r>
          <w:rPr>
            <w:rFonts w:ascii="Times New Roman" w:eastAsia="Times New Roman" w:hAnsi="Times New Roman" w:cs="Times New Roman"/>
            <w:sz w:val="24"/>
            <w:szCs w:val="24"/>
          </w:rPr>
          <w:t>public</w:t>
        </w:r>
      </w:hyperlink>
      <w:r>
        <w:rPr>
          <w:rFonts w:ascii="Times New Roman" w:eastAsia="Times New Roman" w:hAnsi="Times New Roman" w:cs="Times New Roman"/>
          <w:sz w:val="24"/>
          <w:szCs w:val="24"/>
        </w:rPr>
        <w:t xml:space="preserve"> at the sponsored</w:t>
      </w:r>
      <w:hyperlink r:id="rId39">
        <w:r>
          <w:rPr>
            <w:rFonts w:ascii="Times New Roman" w:eastAsia="Times New Roman" w:hAnsi="Times New Roman" w:cs="Times New Roman"/>
            <w:sz w:val="24"/>
            <w:szCs w:val="24"/>
          </w:rPr>
          <w:t xml:space="preserve"> </w:t>
        </w:r>
      </w:hyperlink>
      <w:hyperlink r:id="rId40">
        <w:r>
          <w:rPr>
            <w:rFonts w:ascii="Times New Roman" w:eastAsia="Times New Roman" w:hAnsi="Times New Roman" w:cs="Times New Roman"/>
            <w:sz w:val="24"/>
            <w:szCs w:val="24"/>
          </w:rPr>
          <w:t>activity</w:t>
        </w:r>
      </w:hyperlink>
      <w:r>
        <w:rPr>
          <w:rFonts w:ascii="Times New Roman" w:eastAsia="Times New Roman" w:hAnsi="Times New Roman" w:cs="Times New Roman"/>
          <w:sz w:val="24"/>
          <w:szCs w:val="24"/>
        </w:rPr>
        <w:t xml:space="preserve"> is not considered an inducement to</w:t>
      </w:r>
      <w:hyperlink r:id="rId41">
        <w:r>
          <w:rPr>
            <w:rFonts w:ascii="Times New Roman" w:eastAsia="Times New Roman" w:hAnsi="Times New Roman" w:cs="Times New Roman"/>
            <w:sz w:val="24"/>
            <w:szCs w:val="24"/>
          </w:rPr>
          <w:t xml:space="preserve"> </w:t>
        </w:r>
      </w:hyperlink>
      <w:hyperlink r:id="rId42">
        <w:r>
          <w:rPr>
            <w:rFonts w:ascii="Times New Roman" w:eastAsia="Times New Roman" w:hAnsi="Times New Roman" w:cs="Times New Roman"/>
            <w:sz w:val="24"/>
            <w:szCs w:val="24"/>
          </w:rPr>
          <w:t>purchase</w:t>
        </w:r>
      </w:hyperlink>
      <w:r>
        <w:rPr>
          <w:rFonts w:ascii="Times New Roman" w:eastAsia="Times New Roman" w:hAnsi="Times New Roman" w:cs="Times New Roman"/>
          <w:sz w:val="24"/>
          <w:szCs w:val="24"/>
        </w:rPr>
        <w:t>, sell or use the</w:t>
      </w:r>
      <w:hyperlink r:id="rId43">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sponsor's product and, thus, will not affect the determination of whether a</w:t>
      </w:r>
      <w:hyperlink r:id="rId44">
        <w:r>
          <w:rPr>
            <w:rFonts w:ascii="Times New Roman" w:eastAsia="Times New Roman" w:hAnsi="Times New Roman" w:cs="Times New Roman"/>
            <w:sz w:val="24"/>
            <w:szCs w:val="24"/>
          </w:rPr>
          <w:t xml:space="preserve"> </w:t>
        </w:r>
      </w:hyperlink>
      <w:hyperlink r:id="rId45">
        <w:r>
          <w:rPr>
            <w:rFonts w:ascii="Times New Roman" w:eastAsia="Times New Roman" w:hAnsi="Times New Roman" w:cs="Times New Roman"/>
            <w:sz w:val="24"/>
            <w:szCs w:val="24"/>
          </w:rPr>
          <w:t>payment</w:t>
        </w:r>
      </w:hyperlink>
      <w:r>
        <w:rPr>
          <w:rFonts w:ascii="Times New Roman" w:eastAsia="Times New Roman" w:hAnsi="Times New Roman" w:cs="Times New Roman"/>
          <w:sz w:val="24"/>
          <w:szCs w:val="24"/>
        </w:rPr>
        <w:t xml:space="preserve"> is a</w:t>
      </w:r>
      <w:hyperlink r:id="rId46">
        <w:r>
          <w:rPr>
            <w:rFonts w:ascii="Times New Roman" w:eastAsia="Times New Roman" w:hAnsi="Times New Roman" w:cs="Times New Roman"/>
            <w:sz w:val="24"/>
            <w:szCs w:val="24"/>
          </w:rPr>
          <w:t xml:space="preserve"> </w:t>
        </w:r>
      </w:hyperlink>
      <w:hyperlink r:id="rId47">
        <w:r>
          <w:rPr>
            <w:rFonts w:ascii="Times New Roman" w:eastAsia="Times New Roman" w:hAnsi="Times New Roman" w:cs="Times New Roman"/>
            <w:sz w:val="24"/>
            <w:szCs w:val="24"/>
          </w:rPr>
          <w:t>qualified sponsorship payment</w:t>
        </w:r>
      </w:hyperlink>
      <w:r>
        <w:rPr>
          <w:rFonts w:ascii="Times New Roman" w:eastAsia="Times New Roman" w:hAnsi="Times New Roman" w:cs="Times New Roman"/>
          <w:sz w:val="24"/>
          <w:szCs w:val="24"/>
        </w:rPr>
        <w:t xml:space="preserve">.  Acknowledgements are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advertising.  </w:t>
      </w:r>
    </w:p>
    <w:p w:rsidR="000F3B91" w:rsidRDefault="000F3B91">
      <w:pPr>
        <w:spacing w:before="0" w:after="0"/>
      </w:pPr>
    </w:p>
    <w:p w:rsidR="000F3B91" w:rsidRDefault="008C0804">
      <w:pPr>
        <w:spacing w:before="0" w:after="0"/>
      </w:pPr>
      <w:r>
        <w:rPr>
          <w:rFonts w:ascii="Times New Roman" w:eastAsia="Times New Roman" w:hAnsi="Times New Roman" w:cs="Times New Roman"/>
          <w:b/>
          <w:sz w:val="24"/>
          <w:szCs w:val="24"/>
        </w:rPr>
        <w:t>PROCEDURES</w:t>
      </w:r>
    </w:p>
    <w:p w:rsidR="000F3B91" w:rsidRDefault="000F3B91">
      <w:pPr>
        <w:spacing w:before="0" w:after="0"/>
      </w:pPr>
    </w:p>
    <w:p w:rsidR="000F3B91" w:rsidRDefault="008C0804">
      <w:pPr>
        <w:spacing w:before="0" w:after="0"/>
      </w:pPr>
      <w:r>
        <w:rPr>
          <w:rFonts w:ascii="Times New Roman" w:eastAsia="Times New Roman" w:hAnsi="Times New Roman" w:cs="Times New Roman"/>
          <w:b/>
          <w:sz w:val="24"/>
          <w:szCs w:val="24"/>
        </w:rPr>
        <w:t>Recommendation and Acceptance</w:t>
      </w:r>
    </w:p>
    <w:p w:rsidR="000F3B91" w:rsidRDefault="008C0804">
      <w:pPr>
        <w:widowControl/>
        <w:spacing w:before="0" w:after="0"/>
      </w:pPr>
      <w:r>
        <w:rPr>
          <w:rFonts w:ascii="Times New Roman" w:eastAsia="Times New Roman" w:hAnsi="Times New Roman" w:cs="Times New Roman"/>
          <w:sz w:val="24"/>
          <w:szCs w:val="24"/>
        </w:rPr>
        <w:t xml:space="preserve">Acceptable sponsorship is one where the sponsor offers and does provide support or underwriting for Foundation and/or University events or activities.  The Foundation and/or University may also decline an offer of support or sponsorship.  There may be other considerations that factor into a decision to accept or decline an offer of sponsorship.  The Foundation and University has the right to and will refuse sponsorships from unacceptable sources which is in conflict with Foundation’s policies and procedures or with an unacceptable message. </w:t>
      </w:r>
    </w:p>
    <w:p w:rsidR="000F3B91" w:rsidRDefault="000F3B91">
      <w:pPr>
        <w:widowControl/>
        <w:spacing w:before="0" w:after="0"/>
      </w:pPr>
    </w:p>
    <w:p w:rsidR="000F3B91" w:rsidRDefault="008C0804">
      <w:pPr>
        <w:widowControl/>
        <w:spacing w:before="0" w:after="0"/>
      </w:pPr>
      <w:r>
        <w:rPr>
          <w:rFonts w:ascii="Times New Roman" w:eastAsia="Times New Roman" w:hAnsi="Times New Roman" w:cs="Times New Roman"/>
          <w:sz w:val="24"/>
          <w:szCs w:val="24"/>
        </w:rPr>
        <w:t>The Foundation works closely with James Madison University to review the purpose, benefit, acknowledgement and acceptance of sponsorships to ensure proper IRS classification (Qualified or Non-Qualified Sponsorship).</w:t>
      </w:r>
    </w:p>
    <w:p w:rsidR="000F3B91" w:rsidRDefault="000F3B91">
      <w:pPr>
        <w:spacing w:before="0" w:after="0"/>
      </w:pPr>
    </w:p>
    <w:p w:rsidR="000F3B91" w:rsidRDefault="008C0804">
      <w:pPr>
        <w:spacing w:before="0" w:after="0"/>
      </w:pPr>
      <w:r>
        <w:rPr>
          <w:rFonts w:ascii="Times New Roman" w:eastAsia="Times New Roman" w:hAnsi="Times New Roman" w:cs="Times New Roman"/>
          <w:b/>
          <w:sz w:val="24"/>
          <w:szCs w:val="24"/>
        </w:rPr>
        <w:t>Determining Sponsorship Classification and Acceptance</w:t>
      </w:r>
    </w:p>
    <w:p w:rsidR="000F3B91" w:rsidRDefault="008C0804">
      <w:pPr>
        <w:spacing w:before="0" w:after="0"/>
      </w:pPr>
      <w:r>
        <w:rPr>
          <w:rFonts w:ascii="Times New Roman" w:eastAsia="Times New Roman" w:hAnsi="Times New Roman" w:cs="Times New Roman"/>
          <w:sz w:val="24"/>
          <w:szCs w:val="24"/>
        </w:rPr>
        <w:t xml:space="preserve">To be considered a Qualified Sponsorship and thus exempt from unrelated business income tax </w:t>
      </w:r>
      <w:r>
        <w:rPr>
          <w:rFonts w:ascii="Times New Roman" w:eastAsia="Times New Roman" w:hAnsi="Times New Roman" w:cs="Times New Roman"/>
          <w:sz w:val="24"/>
          <w:szCs w:val="24"/>
        </w:rPr>
        <w:lastRenderedPageBreak/>
        <w:t xml:space="preserve">(UBIT), the Internal Revenue Service guidelines require that the return benefit to the sponsor be of insubstantial value. Goods, services or other benefits of </w:t>
      </w:r>
      <w:r>
        <w:rPr>
          <w:rFonts w:ascii="Times New Roman" w:eastAsia="Times New Roman" w:hAnsi="Times New Roman" w:cs="Times New Roman"/>
          <w:b/>
          <w:sz w:val="24"/>
          <w:szCs w:val="24"/>
        </w:rPr>
        <w:t>“insubstantial value”</w:t>
      </w:r>
      <w:r>
        <w:rPr>
          <w:rFonts w:ascii="Times New Roman" w:eastAsia="Times New Roman" w:hAnsi="Times New Roman" w:cs="Times New Roman"/>
          <w:sz w:val="24"/>
          <w:szCs w:val="24"/>
        </w:rPr>
        <w:t xml:space="preserve"> are benefits with an aggregate fair market value of not more than 2% of the amount of the payment. </w:t>
      </w:r>
    </w:p>
    <w:p w:rsidR="000F3B91" w:rsidRDefault="000F3B91">
      <w:pPr>
        <w:spacing w:before="0" w:after="0"/>
      </w:pPr>
    </w:p>
    <w:p w:rsidR="000F3B91" w:rsidRDefault="008C0804">
      <w:pPr>
        <w:spacing w:before="0" w:after="0"/>
      </w:pPr>
      <w:r>
        <w:rPr>
          <w:rFonts w:ascii="Times New Roman" w:eastAsia="Times New Roman" w:hAnsi="Times New Roman" w:cs="Times New Roman"/>
          <w:sz w:val="24"/>
          <w:szCs w:val="24"/>
        </w:rPr>
        <w:t>In instances where there may be a “</w:t>
      </w:r>
      <w:r>
        <w:rPr>
          <w:rFonts w:ascii="Times New Roman" w:eastAsia="Times New Roman" w:hAnsi="Times New Roman" w:cs="Times New Roman"/>
          <w:b/>
          <w:sz w:val="24"/>
          <w:szCs w:val="24"/>
        </w:rPr>
        <w:t>substantial return benefit”</w:t>
      </w:r>
      <w:r>
        <w:rPr>
          <w:rFonts w:ascii="Times New Roman" w:eastAsia="Times New Roman" w:hAnsi="Times New Roman" w:cs="Times New Roman"/>
          <w:sz w:val="24"/>
          <w:szCs w:val="24"/>
        </w:rPr>
        <w:t xml:space="preserve"> in connection with a sponsorship payment, an evaluation of the substantial return benefit must be documented and FMV of the benefit calculated.  </w:t>
      </w:r>
      <w:r>
        <w:rPr>
          <w:rFonts w:ascii="Times New Roman" w:eastAsia="Times New Roman" w:hAnsi="Times New Roman" w:cs="Times New Roman"/>
          <w:b/>
          <w:sz w:val="24"/>
          <w:szCs w:val="24"/>
        </w:rPr>
        <w:t>Substantial return benefit</w:t>
      </w:r>
      <w:r>
        <w:rPr>
          <w:rFonts w:ascii="Times New Roman" w:eastAsia="Times New Roman" w:hAnsi="Times New Roman" w:cs="Times New Roman"/>
          <w:sz w:val="24"/>
          <w:szCs w:val="24"/>
        </w:rPr>
        <w:t xml:space="preserve"> is defined as any benefit </w:t>
      </w:r>
      <w:r>
        <w:rPr>
          <w:rFonts w:ascii="Times New Roman" w:eastAsia="Times New Roman" w:hAnsi="Times New Roman" w:cs="Times New Roman"/>
          <w:b/>
          <w:sz w:val="24"/>
          <w:szCs w:val="24"/>
          <w:u w:val="single"/>
        </w:rPr>
        <w:t>other than</w:t>
      </w:r>
      <w:r>
        <w:rPr>
          <w:rFonts w:ascii="Times New Roman" w:eastAsia="Times New Roman" w:hAnsi="Times New Roman" w:cs="Times New Roman"/>
          <w:sz w:val="24"/>
          <w:szCs w:val="24"/>
        </w:rPr>
        <w:t xml:space="preserve"> (1) goods, services or other benefits of insubstantial value or (2) a </w:t>
      </w:r>
      <w:r>
        <w:rPr>
          <w:rFonts w:ascii="Times New Roman" w:eastAsia="Times New Roman" w:hAnsi="Times New Roman" w:cs="Times New Roman"/>
          <w:b/>
          <w:sz w:val="24"/>
          <w:szCs w:val="24"/>
        </w:rPr>
        <w:t xml:space="preserve">Use or Acknowledgment </w:t>
      </w:r>
      <w:r>
        <w:rPr>
          <w:rFonts w:ascii="Times New Roman" w:eastAsia="Times New Roman" w:hAnsi="Times New Roman" w:cs="Times New Roman"/>
          <w:sz w:val="24"/>
          <w:szCs w:val="24"/>
        </w:rPr>
        <w:t xml:space="preserve">as previously defined.  </w:t>
      </w:r>
    </w:p>
    <w:p w:rsidR="000F3B91" w:rsidRDefault="000F3B91">
      <w:pPr>
        <w:spacing w:before="0" w:after="0"/>
      </w:pPr>
    </w:p>
    <w:p w:rsidR="000F3B91" w:rsidRDefault="008C0804">
      <w:pPr>
        <w:spacing w:before="0" w:after="0"/>
      </w:pPr>
      <w:r>
        <w:rPr>
          <w:rFonts w:ascii="Times New Roman" w:eastAsia="Times New Roman" w:hAnsi="Times New Roman" w:cs="Times New Roman"/>
          <w:sz w:val="24"/>
          <w:szCs w:val="24"/>
        </w:rPr>
        <w:t xml:space="preserve">If a substantial return benefit exists, it will be considered Non-Qualified and the Foundation will not accept the sponsorship payment.  The Foundation </w:t>
      </w:r>
      <w:r>
        <w:rPr>
          <w:rFonts w:ascii="Times New Roman" w:eastAsia="Times New Roman" w:hAnsi="Times New Roman" w:cs="Times New Roman"/>
          <w:b/>
          <w:sz w:val="24"/>
          <w:szCs w:val="24"/>
        </w:rPr>
        <w:t>does not</w:t>
      </w:r>
      <w:r>
        <w:rPr>
          <w:rFonts w:ascii="Times New Roman" w:eastAsia="Times New Roman" w:hAnsi="Times New Roman" w:cs="Times New Roman"/>
          <w:sz w:val="24"/>
          <w:szCs w:val="24"/>
        </w:rPr>
        <w:t xml:space="preserve"> accept commingled Qualified and Non-Qualified Sponsorships.</w:t>
      </w:r>
    </w:p>
    <w:p w:rsidR="000F3B91" w:rsidRDefault="000F3B91">
      <w:pPr>
        <w:spacing w:before="0" w:after="0"/>
      </w:pPr>
    </w:p>
    <w:p w:rsidR="000F3B91" w:rsidRDefault="008C0804">
      <w:pPr>
        <w:spacing w:before="0" w:after="0"/>
      </w:pPr>
      <w:r>
        <w:rPr>
          <w:rFonts w:ascii="Times New Roman" w:eastAsia="Times New Roman" w:hAnsi="Times New Roman" w:cs="Times New Roman"/>
          <w:sz w:val="24"/>
          <w:szCs w:val="24"/>
        </w:rPr>
        <w:t>To be considered a Qualified Sponsorship, acknowledgement may include:</w:t>
      </w:r>
    </w:p>
    <w:p w:rsidR="000F3B91" w:rsidRDefault="008C0804">
      <w:pPr>
        <w:numPr>
          <w:ilvl w:val="0"/>
          <w:numId w:val="2"/>
        </w:numPr>
        <w:spacing w:before="0" w:after="0"/>
        <w:ind w:hanging="360"/>
        <w:contextualSpacing/>
        <w:rPr>
          <w:sz w:val="24"/>
          <w:szCs w:val="24"/>
        </w:rPr>
      </w:pPr>
      <w:proofErr w:type="gramStart"/>
      <w:r>
        <w:rPr>
          <w:rFonts w:ascii="Times New Roman" w:eastAsia="Times New Roman" w:hAnsi="Times New Roman" w:cs="Times New Roman"/>
          <w:sz w:val="24"/>
          <w:szCs w:val="24"/>
        </w:rPr>
        <w:t>sponsor’s</w:t>
      </w:r>
      <w:proofErr w:type="gramEnd"/>
      <w:r>
        <w:rPr>
          <w:rFonts w:ascii="Times New Roman" w:eastAsia="Times New Roman" w:hAnsi="Times New Roman" w:cs="Times New Roman"/>
          <w:sz w:val="24"/>
          <w:szCs w:val="24"/>
        </w:rPr>
        <w:t xml:space="preserve"> logos and slogans that </w:t>
      </w:r>
      <w:r>
        <w:rPr>
          <w:rFonts w:ascii="Times New Roman" w:eastAsia="Times New Roman" w:hAnsi="Times New Roman" w:cs="Times New Roman"/>
          <w:b/>
          <w:sz w:val="24"/>
          <w:szCs w:val="24"/>
        </w:rPr>
        <w:t>do not</w:t>
      </w:r>
      <w:r>
        <w:rPr>
          <w:rFonts w:ascii="Times New Roman" w:eastAsia="Times New Roman" w:hAnsi="Times New Roman" w:cs="Times New Roman"/>
          <w:sz w:val="24"/>
          <w:szCs w:val="24"/>
        </w:rPr>
        <w:t xml:space="preserve"> contain qualitative (product is the best) or comparative (best price) descriptions of the sponsor’s products, services, facilities, or company.  Logos or slogans that are an established part of the sponsor’s identity are not considered to contain qualitative or comparative descriptions.  Mere display or distribution of a sponsor’s product by the sponsor or the University to the general public at a sponsored activity will not be considered an inducement to purchase, sell or use the sponsor’s product and thus will not affect the determination as to whether a payment constitutes a qualified sponsorship payment.</w:t>
      </w:r>
    </w:p>
    <w:p w:rsidR="000F3B91" w:rsidRDefault="008C0804">
      <w:pPr>
        <w:numPr>
          <w:ilvl w:val="0"/>
          <w:numId w:val="2"/>
        </w:numPr>
        <w:spacing w:before="0" w:after="0"/>
        <w:ind w:hanging="360"/>
        <w:contextualSpacing/>
        <w:rPr>
          <w:sz w:val="24"/>
          <w:szCs w:val="24"/>
        </w:rPr>
      </w:pPr>
      <w:r>
        <w:rPr>
          <w:rFonts w:ascii="Times New Roman" w:eastAsia="Times New Roman" w:hAnsi="Times New Roman" w:cs="Times New Roman"/>
          <w:sz w:val="24"/>
          <w:szCs w:val="24"/>
        </w:rPr>
        <w:t>a list of the sponsor’s locations (e.g. addresses), telephone numbers, facsimile numbers or internet addresses</w:t>
      </w:r>
    </w:p>
    <w:p w:rsidR="000F3B91" w:rsidRDefault="008C0804">
      <w:pPr>
        <w:numPr>
          <w:ilvl w:val="0"/>
          <w:numId w:val="2"/>
        </w:numPr>
        <w:spacing w:before="0" w:after="0"/>
        <w:ind w:hanging="360"/>
        <w:contextualSpacing/>
        <w:rPr>
          <w:sz w:val="24"/>
          <w:szCs w:val="24"/>
        </w:rPr>
      </w:pPr>
      <w:r>
        <w:rPr>
          <w:rFonts w:ascii="Times New Roman" w:eastAsia="Times New Roman" w:hAnsi="Times New Roman" w:cs="Times New Roman"/>
          <w:sz w:val="24"/>
          <w:szCs w:val="24"/>
        </w:rPr>
        <w:t>value-neutral descriptions (including displays or visual depictions) of the sponsor’s product line(s) or services</w:t>
      </w:r>
    </w:p>
    <w:p w:rsidR="000F3B91" w:rsidRDefault="008C0804">
      <w:pPr>
        <w:numPr>
          <w:ilvl w:val="0"/>
          <w:numId w:val="2"/>
        </w:numPr>
        <w:spacing w:before="0" w:after="0"/>
        <w:ind w:hanging="360"/>
        <w:contextualSpacing/>
        <w:rPr>
          <w:sz w:val="24"/>
          <w:szCs w:val="24"/>
        </w:rPr>
      </w:pPr>
      <w:r>
        <w:rPr>
          <w:rFonts w:ascii="Times New Roman" w:eastAsia="Times New Roman" w:hAnsi="Times New Roman" w:cs="Times New Roman"/>
          <w:sz w:val="24"/>
          <w:szCs w:val="24"/>
        </w:rPr>
        <w:t>sponsor brand or trade names and product or service listing</w:t>
      </w:r>
    </w:p>
    <w:p w:rsidR="000F3B91" w:rsidRDefault="008C0804">
      <w:pPr>
        <w:numPr>
          <w:ilvl w:val="0"/>
          <w:numId w:val="2"/>
        </w:numPr>
        <w:spacing w:before="0" w:after="0"/>
        <w:ind w:hanging="360"/>
        <w:contextualSpacing/>
        <w:rPr>
          <w:sz w:val="24"/>
          <w:szCs w:val="24"/>
        </w:rPr>
      </w:pPr>
      <w:r>
        <w:rPr>
          <w:rFonts w:ascii="Times New Roman" w:eastAsia="Times New Roman" w:hAnsi="Times New Roman" w:cs="Times New Roman"/>
          <w:sz w:val="24"/>
          <w:szCs w:val="24"/>
        </w:rPr>
        <w:t xml:space="preserve">a single static internet website line that takes the viewer only to the sponsor’s home page –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to a page where a product or service is marketed or sold</w:t>
      </w:r>
    </w:p>
    <w:p w:rsidR="000F3B91" w:rsidRDefault="000F3B91">
      <w:pPr>
        <w:spacing w:before="0" w:after="0"/>
      </w:pPr>
    </w:p>
    <w:p w:rsidR="000F3B91" w:rsidRDefault="008C0804">
      <w:pPr>
        <w:spacing w:before="0" w:after="0"/>
      </w:pPr>
      <w:r>
        <w:rPr>
          <w:rFonts w:ascii="Times New Roman" w:eastAsia="Times New Roman" w:hAnsi="Times New Roman" w:cs="Times New Roman"/>
          <w:sz w:val="24"/>
          <w:szCs w:val="24"/>
        </w:rPr>
        <w:t xml:space="preserve">Acknowledgements may also be included in and on University assets in an unobtrusive and appropriate manner.  </w:t>
      </w:r>
    </w:p>
    <w:p w:rsidR="000F3B91" w:rsidRDefault="000F3B91">
      <w:pPr>
        <w:spacing w:before="0" w:after="0"/>
      </w:pPr>
    </w:p>
    <w:p w:rsidR="000F3B91" w:rsidRDefault="008C0804">
      <w:pPr>
        <w:spacing w:before="0" w:after="0"/>
      </w:pPr>
      <w:bookmarkStart w:id="1" w:name="_gjdgxs" w:colFirst="0" w:colLast="0"/>
      <w:bookmarkEnd w:id="1"/>
      <w:r>
        <w:rPr>
          <w:rFonts w:ascii="Times New Roman" w:eastAsia="Times New Roman" w:hAnsi="Times New Roman" w:cs="Times New Roman"/>
          <w:b/>
          <w:sz w:val="24"/>
          <w:szCs w:val="24"/>
        </w:rPr>
        <w:t>ALL QUALIFIED SPONSORSHIPS AND ASSOCIATED ACKNOWLEDGMENTS MUST BE APPROVED BY THE JAMES MADISON UNIVERSITY FOUNDATION CHIEF FINANCIAL OFFICER OR CHIEF EXECUTIVE OFFICER.</w:t>
      </w:r>
    </w:p>
    <w:p w:rsidR="000F3B91" w:rsidRDefault="000F3B91">
      <w:pPr>
        <w:spacing w:before="0" w:after="0"/>
      </w:pPr>
    </w:p>
    <w:p w:rsidR="000F3B91" w:rsidRDefault="008C0804">
      <w:pPr>
        <w:spacing w:before="0" w:after="0"/>
      </w:pPr>
      <w:r>
        <w:rPr>
          <w:rFonts w:ascii="Times New Roman" w:eastAsia="Times New Roman" w:hAnsi="Times New Roman" w:cs="Times New Roman"/>
          <w:sz w:val="24"/>
          <w:szCs w:val="24"/>
        </w:rPr>
        <w:t xml:space="preserve">Sponsorships that meet the IRS provisions for Non-Qualified sponsorships must be reviewed and approved by the University to determine if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sponsorship will be accepted by the University.</w:t>
      </w:r>
    </w:p>
    <w:p w:rsidR="000F3B91" w:rsidRDefault="000F3B91">
      <w:pPr>
        <w:spacing w:before="0" w:after="0"/>
      </w:pPr>
    </w:p>
    <w:p w:rsidR="000F3B91" w:rsidRDefault="008C0804">
      <w:pPr>
        <w:spacing w:before="0" w:after="0"/>
      </w:pPr>
      <w:r>
        <w:rPr>
          <w:rFonts w:ascii="Times New Roman" w:eastAsia="Times New Roman" w:hAnsi="Times New Roman" w:cs="Times New Roman"/>
          <w:sz w:val="24"/>
          <w:szCs w:val="24"/>
        </w:rPr>
        <w:t>To be considered a Non-Qualified Sponsorship (subject to UBIT), acknowledgement may include:</w:t>
      </w:r>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 xml:space="preserve">providing prices, indications of savings or value, providing endorsements, or </w:t>
      </w:r>
      <w:r>
        <w:rPr>
          <w:rFonts w:ascii="Times New Roman" w:eastAsia="Times New Roman" w:hAnsi="Times New Roman" w:cs="Times New Roman"/>
          <w:sz w:val="24"/>
          <w:szCs w:val="24"/>
        </w:rPr>
        <w:lastRenderedPageBreak/>
        <w:t>inducements to buy a sponsor’s products or services</w:t>
      </w:r>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providing a link from a sponsor’s name/logo on the University’s website to a page of a sponsor’s website where a product or service is sold or listing the phone number where the product or services can be ordered</w:t>
      </w:r>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providing a continuous “active placard” or “running banner” with the sponsor’s name or logo on the Foundation or University website</w:t>
      </w:r>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 xml:space="preserve">providing more than token services or other privileges to the sponsor in return for its sponsorship payment, such as tickets to an event that are complimentary and </w:t>
      </w:r>
      <w:r>
        <w:rPr>
          <w:rFonts w:ascii="Times New Roman" w:eastAsia="Times New Roman" w:hAnsi="Times New Roman" w:cs="Times New Roman"/>
          <w:b/>
          <w:sz w:val="24"/>
          <w:szCs w:val="24"/>
        </w:rPr>
        <w:t>not otherwise available to the public</w:t>
      </w:r>
      <w:r>
        <w:rPr>
          <w:rFonts w:ascii="Times New Roman" w:eastAsia="Times New Roman" w:hAnsi="Times New Roman" w:cs="Times New Roman"/>
          <w:sz w:val="24"/>
          <w:szCs w:val="24"/>
        </w:rPr>
        <w:t>, or lavish receptions</w:t>
      </w:r>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accepting a payment from a corporate sponsor that is contingent upon the level of attendance, broadcast ratings or other factors indicating the degree of public exposure at the nonprofit event</w:t>
      </w:r>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 xml:space="preserve">providing the sponsor with advertising or acknowledgments in regularly scheduled and published materials, such as an </w:t>
      </w:r>
      <w:proofErr w:type="spellStart"/>
      <w:r>
        <w:rPr>
          <w:rFonts w:ascii="Times New Roman" w:eastAsia="Times New Roman" w:hAnsi="Times New Roman" w:cs="Times New Roman"/>
          <w:sz w:val="24"/>
          <w:szCs w:val="24"/>
        </w:rPr>
        <w:t>eNewsletter</w:t>
      </w:r>
      <w:proofErr w:type="spellEnd"/>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endorsement or exclusive provider</w:t>
      </w:r>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any other forms of advertising</w:t>
      </w:r>
    </w:p>
    <w:p w:rsidR="000F3B91" w:rsidRDefault="008C0804">
      <w:pPr>
        <w:numPr>
          <w:ilvl w:val="0"/>
          <w:numId w:val="4"/>
        </w:numPr>
        <w:spacing w:before="0" w:after="0"/>
        <w:ind w:hanging="360"/>
        <w:contextualSpacing/>
        <w:rPr>
          <w:sz w:val="24"/>
          <w:szCs w:val="24"/>
        </w:rPr>
      </w:pPr>
      <w:r>
        <w:rPr>
          <w:rFonts w:ascii="Times New Roman" w:eastAsia="Times New Roman" w:hAnsi="Times New Roman" w:cs="Times New Roman"/>
          <w:sz w:val="24"/>
          <w:szCs w:val="24"/>
        </w:rPr>
        <w:t>granting the sponsor an exclusive or nonexclusive right to use the Foundation or University intangible asset (e.g. name, logo, trademarks, copyright, patent)</w:t>
      </w:r>
    </w:p>
    <w:p w:rsidR="000F3B91" w:rsidRDefault="000F3B91">
      <w:pPr>
        <w:spacing w:before="0" w:after="0"/>
        <w:ind w:left="720"/>
      </w:pPr>
    </w:p>
    <w:p w:rsidR="000F3B91" w:rsidRDefault="008C0804">
      <w:pPr>
        <w:spacing w:before="0" w:after="0"/>
      </w:pPr>
      <w:r>
        <w:rPr>
          <w:rFonts w:ascii="Times New Roman" w:eastAsia="Times New Roman" w:hAnsi="Times New Roman" w:cs="Times New Roman"/>
          <w:b/>
          <w:sz w:val="24"/>
          <w:szCs w:val="24"/>
        </w:rPr>
        <w:t>ALL NON-QUALIFIED SPONSORSHIP MUST GO THROUGH THE APPROPRIATE UNIVERSITY APPROVAL PROCESS.</w:t>
      </w:r>
    </w:p>
    <w:p w:rsidR="000F3B91" w:rsidRDefault="000F3B91">
      <w:pPr>
        <w:spacing w:before="0" w:after="0"/>
      </w:pPr>
    </w:p>
    <w:p w:rsidR="000F3B91" w:rsidRDefault="008C0804">
      <w:pPr>
        <w:spacing w:before="0" w:after="0"/>
      </w:pPr>
      <w:r>
        <w:rPr>
          <w:rFonts w:ascii="Times New Roman" w:eastAsia="Times New Roman" w:hAnsi="Times New Roman" w:cs="Times New Roman"/>
          <w:b/>
          <w:sz w:val="24"/>
          <w:szCs w:val="24"/>
        </w:rPr>
        <w:t>Gift Recording, Receipting and Recognition</w:t>
      </w:r>
    </w:p>
    <w:p w:rsidR="000F3B91" w:rsidRDefault="008C0804">
      <w:pPr>
        <w:spacing w:before="0" w:after="0"/>
      </w:pPr>
      <w:r>
        <w:rPr>
          <w:rFonts w:ascii="Times New Roman" w:eastAsia="Times New Roman" w:hAnsi="Times New Roman" w:cs="Times New Roman"/>
          <w:sz w:val="24"/>
          <w:szCs w:val="24"/>
        </w:rPr>
        <w:t>If approved, the Sponsorship will be recorded in either the Foundation or University’s accounting records depending on the type and nature of the Sponsorship.  Types of Sponsorships the Foundation and University are involved in include, but are not limited to:</w:t>
      </w:r>
    </w:p>
    <w:p w:rsidR="000F3B91" w:rsidRDefault="008C0804">
      <w:pPr>
        <w:numPr>
          <w:ilvl w:val="0"/>
          <w:numId w:val="8"/>
        </w:numPr>
        <w:spacing w:before="0" w:after="0"/>
        <w:ind w:hanging="360"/>
        <w:contextualSpacing/>
        <w:rPr>
          <w:sz w:val="24"/>
          <w:szCs w:val="24"/>
        </w:rPr>
      </w:pPr>
      <w:r>
        <w:rPr>
          <w:rFonts w:ascii="Times New Roman" w:eastAsia="Times New Roman" w:hAnsi="Times New Roman" w:cs="Times New Roman"/>
          <w:sz w:val="24"/>
          <w:szCs w:val="24"/>
        </w:rPr>
        <w:t>Special Events</w:t>
      </w:r>
    </w:p>
    <w:p w:rsidR="000F3B91" w:rsidRDefault="008C0804">
      <w:pPr>
        <w:numPr>
          <w:ilvl w:val="0"/>
          <w:numId w:val="8"/>
        </w:numPr>
        <w:spacing w:before="0" w:after="0"/>
        <w:ind w:hanging="360"/>
        <w:contextualSpacing/>
        <w:rPr>
          <w:sz w:val="24"/>
          <w:szCs w:val="24"/>
        </w:rPr>
      </w:pPr>
      <w:r>
        <w:rPr>
          <w:rFonts w:ascii="Times New Roman" w:eastAsia="Times New Roman" w:hAnsi="Times New Roman" w:cs="Times New Roman"/>
          <w:sz w:val="24"/>
          <w:szCs w:val="24"/>
        </w:rPr>
        <w:t>Conferences</w:t>
      </w:r>
    </w:p>
    <w:p w:rsidR="000F3B91" w:rsidRDefault="008C0804">
      <w:pPr>
        <w:numPr>
          <w:ilvl w:val="0"/>
          <w:numId w:val="8"/>
        </w:numPr>
        <w:spacing w:before="0" w:after="0"/>
        <w:ind w:hanging="360"/>
        <w:contextualSpacing/>
        <w:rPr>
          <w:sz w:val="24"/>
          <w:szCs w:val="24"/>
        </w:rPr>
      </w:pPr>
      <w:r>
        <w:rPr>
          <w:rFonts w:ascii="Times New Roman" w:eastAsia="Times New Roman" w:hAnsi="Times New Roman" w:cs="Times New Roman"/>
          <w:sz w:val="24"/>
          <w:szCs w:val="24"/>
        </w:rPr>
        <w:t>Competitions</w:t>
      </w:r>
    </w:p>
    <w:p w:rsidR="000F3B91" w:rsidRDefault="008C0804">
      <w:pPr>
        <w:numPr>
          <w:ilvl w:val="0"/>
          <w:numId w:val="8"/>
        </w:numPr>
        <w:spacing w:before="0" w:after="0"/>
        <w:ind w:hanging="360"/>
        <w:contextualSpacing/>
        <w:rPr>
          <w:sz w:val="24"/>
          <w:szCs w:val="24"/>
        </w:rPr>
      </w:pPr>
      <w:r>
        <w:rPr>
          <w:rFonts w:ascii="Times New Roman" w:eastAsia="Times New Roman" w:hAnsi="Times New Roman" w:cs="Times New Roman"/>
          <w:sz w:val="24"/>
          <w:szCs w:val="24"/>
        </w:rPr>
        <w:t>Sporting/Athletic events</w:t>
      </w:r>
    </w:p>
    <w:p w:rsidR="000F3B91" w:rsidRDefault="008C0804">
      <w:pPr>
        <w:numPr>
          <w:ilvl w:val="0"/>
          <w:numId w:val="8"/>
        </w:numPr>
        <w:spacing w:before="0" w:after="0"/>
        <w:ind w:hanging="360"/>
        <w:contextualSpacing/>
        <w:rPr>
          <w:sz w:val="24"/>
          <w:szCs w:val="24"/>
        </w:rPr>
      </w:pPr>
      <w:r>
        <w:rPr>
          <w:rFonts w:ascii="Times New Roman" w:eastAsia="Times New Roman" w:hAnsi="Times New Roman" w:cs="Times New Roman"/>
          <w:sz w:val="24"/>
          <w:szCs w:val="24"/>
        </w:rPr>
        <w:t xml:space="preserve">Sponsored Programs (under University Grants and Contracts)   </w:t>
      </w:r>
    </w:p>
    <w:p w:rsidR="000F3B91" w:rsidRDefault="000F3B91">
      <w:pPr>
        <w:spacing w:before="0" w:after="0"/>
      </w:pPr>
    </w:p>
    <w:p w:rsidR="000F3B91" w:rsidRDefault="008C0804">
      <w:pPr>
        <w:spacing w:before="0" w:after="0"/>
      </w:pPr>
      <w:r>
        <w:rPr>
          <w:rFonts w:ascii="Times New Roman" w:eastAsia="Times New Roman" w:hAnsi="Times New Roman" w:cs="Times New Roman"/>
          <w:b/>
          <w:sz w:val="24"/>
          <w:szCs w:val="24"/>
        </w:rPr>
        <w:t>Governance</w:t>
      </w:r>
    </w:p>
    <w:p w:rsidR="000F3B91" w:rsidRDefault="008C0804">
      <w:pPr>
        <w:spacing w:before="0" w:after="0"/>
      </w:pPr>
      <w:r>
        <w:rPr>
          <w:rFonts w:ascii="Times New Roman" w:eastAsia="Times New Roman" w:hAnsi="Times New Roman" w:cs="Times New Roman"/>
          <w:sz w:val="24"/>
          <w:szCs w:val="24"/>
        </w:rPr>
        <w:t>Internal Revenue Service</w:t>
      </w:r>
    </w:p>
    <w:p w:rsidR="000F3B91" w:rsidRDefault="008C0804">
      <w:pPr>
        <w:numPr>
          <w:ilvl w:val="0"/>
          <w:numId w:val="5"/>
        </w:numPr>
        <w:spacing w:before="0" w:after="0"/>
        <w:ind w:hanging="360"/>
        <w:contextualSpacing/>
        <w:rPr>
          <w:sz w:val="24"/>
          <w:szCs w:val="24"/>
        </w:rPr>
      </w:pPr>
      <w:r>
        <w:rPr>
          <w:rFonts w:ascii="Times New Roman" w:eastAsia="Times New Roman" w:hAnsi="Times New Roman" w:cs="Times New Roman"/>
          <w:sz w:val="24"/>
          <w:szCs w:val="24"/>
        </w:rPr>
        <w:t>Regulation 26 CFR 1.513-4</w:t>
      </w:r>
    </w:p>
    <w:p w:rsidR="000F3B91" w:rsidRDefault="008C0804">
      <w:pPr>
        <w:numPr>
          <w:ilvl w:val="0"/>
          <w:numId w:val="5"/>
        </w:numPr>
        <w:spacing w:before="0"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Publication 598 Tax on Unrelated Business Income of Exempt Organizations</w:t>
      </w:r>
    </w:p>
    <w:p w:rsidR="000F3B91" w:rsidRDefault="000F3B91">
      <w:pPr>
        <w:spacing w:before="0" w:after="0"/>
      </w:pPr>
    </w:p>
    <w:p w:rsidR="000F3B91" w:rsidRDefault="008C0804">
      <w:pPr>
        <w:spacing w:before="0" w:after="0"/>
      </w:pPr>
      <w:r>
        <w:rPr>
          <w:rFonts w:ascii="Times New Roman" w:eastAsia="Times New Roman" w:hAnsi="Times New Roman" w:cs="Times New Roman"/>
          <w:b/>
          <w:sz w:val="24"/>
          <w:szCs w:val="24"/>
        </w:rPr>
        <w:t>Related Foundation Policies/Guidelines/Procedures</w:t>
      </w:r>
    </w:p>
    <w:p w:rsidR="000F3B91" w:rsidRDefault="008C0804">
      <w:pPr>
        <w:numPr>
          <w:ilvl w:val="0"/>
          <w:numId w:val="9"/>
        </w:numPr>
        <w:spacing w:before="0" w:after="0"/>
        <w:ind w:hanging="360"/>
        <w:contextualSpacing/>
        <w:rPr>
          <w:sz w:val="24"/>
          <w:szCs w:val="24"/>
        </w:rPr>
      </w:pPr>
      <w:r>
        <w:rPr>
          <w:rFonts w:ascii="Times New Roman" w:eastAsia="Times New Roman" w:hAnsi="Times New Roman" w:cs="Times New Roman"/>
          <w:sz w:val="24"/>
          <w:szCs w:val="24"/>
        </w:rPr>
        <w:t xml:space="preserve">Gift Acceptance </w:t>
      </w:r>
    </w:p>
    <w:p w:rsidR="000F3B91" w:rsidRDefault="008C0804">
      <w:pPr>
        <w:numPr>
          <w:ilvl w:val="0"/>
          <w:numId w:val="9"/>
        </w:numPr>
        <w:spacing w:before="0" w:after="0"/>
        <w:ind w:hanging="360"/>
        <w:contextualSpacing/>
        <w:rPr>
          <w:sz w:val="24"/>
          <w:szCs w:val="24"/>
        </w:rPr>
      </w:pPr>
      <w:r>
        <w:rPr>
          <w:rFonts w:ascii="Times New Roman" w:eastAsia="Times New Roman" w:hAnsi="Times New Roman" w:cs="Times New Roman"/>
          <w:sz w:val="24"/>
          <w:szCs w:val="24"/>
        </w:rPr>
        <w:t xml:space="preserve">Special Events </w:t>
      </w:r>
    </w:p>
    <w:p w:rsidR="000F3B91" w:rsidRDefault="000F3B91">
      <w:pPr>
        <w:spacing w:before="0" w:after="0"/>
        <w:ind w:left="720"/>
      </w:pPr>
    </w:p>
    <w:p w:rsidR="000F3B91" w:rsidRDefault="000F3B91">
      <w:pPr>
        <w:spacing w:before="0" w:after="0"/>
      </w:pPr>
    </w:p>
    <w:p w:rsidR="000F3B91" w:rsidRDefault="000F3B91">
      <w:pPr>
        <w:spacing w:before="0" w:after="0"/>
      </w:pPr>
    </w:p>
    <w:p w:rsidR="000F3B91" w:rsidRDefault="000F3B91">
      <w:pPr>
        <w:spacing w:before="0" w:after="0"/>
      </w:pPr>
    </w:p>
    <w:p w:rsidR="000F3B91" w:rsidRDefault="000F3B91"/>
    <w:sectPr w:rsidR="000F3B91" w:rsidSect="008C0804">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0"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D87" w:rsidRDefault="008C0804">
      <w:pPr>
        <w:spacing w:before="0" w:after="0"/>
      </w:pPr>
      <w:r>
        <w:separator/>
      </w:r>
    </w:p>
  </w:endnote>
  <w:endnote w:type="continuationSeparator" w:id="0">
    <w:p w:rsidR="000C5D87" w:rsidRDefault="008C08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B8" w:rsidRDefault="00B72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91" w:rsidRDefault="008C0804">
    <w:pPr>
      <w:tabs>
        <w:tab w:val="center" w:pos="4680"/>
        <w:tab w:val="right" w:pos="9360"/>
      </w:tabs>
      <w:spacing w:before="0" w:after="720"/>
    </w:pPr>
    <w:r>
      <w:fldChar w:fldCharType="begin"/>
    </w:r>
    <w:r>
      <w:instrText>PAGE</w:instrText>
    </w:r>
    <w:r>
      <w:fldChar w:fldCharType="separate"/>
    </w:r>
    <w:r w:rsidR="0017064A">
      <w:rPr>
        <w:noProof/>
      </w:rPr>
      <w:t>5</w:t>
    </w:r>
    <w:r>
      <w:fldChar w:fldCharType="end"/>
    </w:r>
  </w:p>
  <w:p w:rsidR="000F3B91" w:rsidRDefault="000F3B91">
    <w:pPr>
      <w:tabs>
        <w:tab w:val="center" w:pos="4680"/>
        <w:tab w:val="right" w:pos="9360"/>
      </w:tabs>
      <w:spacing w:before="0" w:after="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91" w:rsidRDefault="000F3B91">
    <w:pPr>
      <w:tabs>
        <w:tab w:val="center" w:pos="4680"/>
        <w:tab w:val="right" w:pos="9360"/>
      </w:tabs>
      <w:spacing w:before="0"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D87" w:rsidRDefault="008C0804">
      <w:pPr>
        <w:spacing w:before="0" w:after="0"/>
      </w:pPr>
      <w:r>
        <w:separator/>
      </w:r>
    </w:p>
  </w:footnote>
  <w:footnote w:type="continuationSeparator" w:id="0">
    <w:p w:rsidR="000C5D87" w:rsidRDefault="008C08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B8" w:rsidRDefault="00B72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91" w:rsidRDefault="008C0804">
    <w:pPr>
      <w:tabs>
        <w:tab w:val="left" w:pos="2595"/>
      </w:tabs>
      <w:spacing w:before="720" w:after="0"/>
    </w:pPr>
    <w:r>
      <w:rPr>
        <w:b/>
        <w:sz w:val="32"/>
        <w:szCs w:val="32"/>
      </w:rPr>
      <w:t xml:space="preserve">Section </w:t>
    </w:r>
    <w:r w:rsidR="00B722B8">
      <w:rPr>
        <w:b/>
        <w:sz w:val="32"/>
        <w:szCs w:val="32"/>
      </w:rPr>
      <w:t>3</w:t>
    </w:r>
    <w:r>
      <w:rPr>
        <w:b/>
        <w:sz w:val="32"/>
        <w:szCs w:val="32"/>
      </w:rPr>
      <w:t xml:space="preserve">0000  </w:t>
    </w:r>
    <w:r>
      <w:rPr>
        <w:b/>
        <w:sz w:val="32"/>
        <w:szCs w:val="32"/>
      </w:rPr>
      <w:tab/>
    </w:r>
    <w:r w:rsidR="00B722B8">
      <w:rPr>
        <w:b/>
        <w:sz w:val="32"/>
        <w:szCs w:val="32"/>
      </w:rPr>
      <w:t>302</w:t>
    </w:r>
    <w:r>
      <w:rPr>
        <w:b/>
        <w:sz w:val="32"/>
        <w:szCs w:val="32"/>
      </w:rPr>
      <w:t>00 Sponsorship</w:t>
    </w:r>
    <w:r>
      <w:rPr>
        <w:noProof/>
      </w:rPr>
      <w:drawing>
        <wp:anchor distT="0" distB="0" distL="114300" distR="114300" simplePos="0" relativeHeight="251657216" behindDoc="0" locked="0" layoutInCell="0" hidden="0" allowOverlap="1">
          <wp:simplePos x="0" y="0"/>
          <wp:positionH relativeFrom="margin">
            <wp:posOffset>1206500</wp:posOffset>
          </wp:positionH>
          <wp:positionV relativeFrom="paragraph">
            <wp:posOffset>0</wp:posOffset>
          </wp:positionV>
          <wp:extent cx="12700" cy="3048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2700" cy="304800"/>
                  </a:xfrm>
                  <a:prstGeom prst="rect">
                    <a:avLst/>
                  </a:prstGeom>
                  <a:ln/>
                </pic:spPr>
              </pic:pic>
            </a:graphicData>
          </a:graphic>
        </wp:anchor>
      </w:drawing>
    </w:r>
    <w:r w:rsidR="008F457F">
      <w:rPr>
        <w:b/>
        <w:sz w:val="32"/>
        <w:szCs w:val="32"/>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91" w:rsidRDefault="000F3B91">
    <w:pPr>
      <w:tabs>
        <w:tab w:val="center" w:pos="4680"/>
        <w:tab w:val="right" w:pos="9360"/>
      </w:tabs>
      <w:spacing w:before="72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D17"/>
    <w:multiLevelType w:val="multilevel"/>
    <w:tmpl w:val="4F1C42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1A4F6C"/>
    <w:multiLevelType w:val="multilevel"/>
    <w:tmpl w:val="378201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C8111AB"/>
    <w:multiLevelType w:val="multilevel"/>
    <w:tmpl w:val="18F487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D221B2C"/>
    <w:multiLevelType w:val="multilevel"/>
    <w:tmpl w:val="169CC4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3707CF4"/>
    <w:multiLevelType w:val="multilevel"/>
    <w:tmpl w:val="F86870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F875E02"/>
    <w:multiLevelType w:val="multilevel"/>
    <w:tmpl w:val="613EEE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32E42FB"/>
    <w:multiLevelType w:val="multilevel"/>
    <w:tmpl w:val="9D067B9E"/>
    <w:lvl w:ilvl="0">
      <w:start w:val="1"/>
      <w:numFmt w:val="bullet"/>
      <w:lvlText w:val="●"/>
      <w:lvlJc w:val="left"/>
      <w:pPr>
        <w:ind w:left="630" w:firstLine="27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3BC7AA4"/>
    <w:multiLevelType w:val="multilevel"/>
    <w:tmpl w:val="93280C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3111CD4"/>
    <w:multiLevelType w:val="multilevel"/>
    <w:tmpl w:val="4B9C15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6"/>
  </w:num>
  <w:num w:numId="3">
    <w:abstractNumId w:val="7"/>
  </w:num>
  <w:num w:numId="4">
    <w:abstractNumId w:val="5"/>
  </w:num>
  <w:num w:numId="5">
    <w:abstractNumId w:val="8"/>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91"/>
    <w:rsid w:val="000C5D87"/>
    <w:rsid w:val="000F3B91"/>
    <w:rsid w:val="00113138"/>
    <w:rsid w:val="0017064A"/>
    <w:rsid w:val="00202C15"/>
    <w:rsid w:val="00663DD1"/>
    <w:rsid w:val="008B6BAD"/>
    <w:rsid w:val="008C0804"/>
    <w:rsid w:val="008F457F"/>
    <w:rsid w:val="009274A0"/>
    <w:rsid w:val="00B722B8"/>
    <w:rsid w:val="00DB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3401E"/>
  <w15:docId w15:val="{38B9D0F5-B630-4289-A4F3-1E8DB9FA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18"/>
        <w:szCs w:val="18"/>
        <w:lang w:val="en-US" w:eastAsia="en-US" w:bidi="ar-SA"/>
      </w:rPr>
    </w:rPrDefault>
    <w:pPrDefault>
      <w:pPr>
        <w:widowControl w:val="0"/>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400" w:after="100"/>
      <w:outlineLvl w:val="0"/>
    </w:pPr>
    <w:rPr>
      <w:b/>
      <w:sz w:val="32"/>
      <w:szCs w:val="32"/>
    </w:rPr>
  </w:style>
  <w:style w:type="paragraph" w:styleId="Heading2">
    <w:name w:val="heading 2"/>
    <w:basedOn w:val="Normal"/>
    <w:next w:val="Normal"/>
    <w:pPr>
      <w:outlineLvl w:val="1"/>
    </w:pPr>
    <w:rPr>
      <w:b/>
      <w:smallCaps/>
      <w:sz w:val="20"/>
      <w:szCs w:val="20"/>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29" w:type="dxa"/>
        <w:right w:w="29" w:type="dxa"/>
      </w:tblCellMar>
    </w:tblPr>
  </w:style>
  <w:style w:type="paragraph" w:styleId="Header">
    <w:name w:val="header"/>
    <w:basedOn w:val="Normal"/>
    <w:link w:val="HeaderChar"/>
    <w:uiPriority w:val="99"/>
    <w:unhideWhenUsed/>
    <w:rsid w:val="008C0804"/>
    <w:pPr>
      <w:tabs>
        <w:tab w:val="center" w:pos="4680"/>
        <w:tab w:val="right" w:pos="9360"/>
      </w:tabs>
      <w:spacing w:before="0" w:after="0"/>
    </w:pPr>
  </w:style>
  <w:style w:type="character" w:customStyle="1" w:styleId="HeaderChar">
    <w:name w:val="Header Char"/>
    <w:basedOn w:val="DefaultParagraphFont"/>
    <w:link w:val="Header"/>
    <w:uiPriority w:val="99"/>
    <w:rsid w:val="008C0804"/>
  </w:style>
  <w:style w:type="paragraph" w:styleId="Footer">
    <w:name w:val="footer"/>
    <w:basedOn w:val="Normal"/>
    <w:link w:val="FooterChar"/>
    <w:uiPriority w:val="99"/>
    <w:unhideWhenUsed/>
    <w:rsid w:val="008C0804"/>
    <w:pPr>
      <w:tabs>
        <w:tab w:val="center" w:pos="4680"/>
        <w:tab w:val="right" w:pos="9360"/>
      </w:tabs>
      <w:spacing w:before="0" w:after="0"/>
    </w:pPr>
  </w:style>
  <w:style w:type="character" w:customStyle="1" w:styleId="FooterChar">
    <w:name w:val="Footer Char"/>
    <w:basedOn w:val="DefaultParagraphFont"/>
    <w:link w:val="Footer"/>
    <w:uiPriority w:val="99"/>
    <w:rsid w:val="008C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480f1eecec6bda4a659f04cad5ddae9a&amp;term_occur=2&amp;term_src=Title:26:Chapter:I:Subchapter:A:Part:1:Subjgrp:3:1.513-4" TargetMode="External"/><Relationship Id="rId18" Type="http://schemas.openxmlformats.org/officeDocument/2006/relationships/hyperlink" Target="https://www.law.cornell.edu/definitions/index.php?width=840&amp;height=800&amp;iframe=true&amp;def_id=82c34dbf383d59863b57475838377d3c&amp;term_occur=1&amp;term_src=Title:26:Chapter:I:Subchapter:A:Part:1:Subjgrp:3:1.513-4" TargetMode="External"/><Relationship Id="rId26" Type="http://schemas.openxmlformats.org/officeDocument/2006/relationships/hyperlink" Target="https://www.law.cornell.edu/definitions/index.php?width=840&amp;height=800&amp;iframe=true&amp;def_id=257267f615c1425ecfa440236e690bff&amp;term_occur=8&amp;term_src=Title:26:Chapter:I:Subchapter:A:Part:1:Subjgrp:3:1.513-4" TargetMode="External"/><Relationship Id="rId39" Type="http://schemas.openxmlformats.org/officeDocument/2006/relationships/hyperlink" Target="https://www.law.cornell.edu/definitions/index.php?width=840&amp;height=800&amp;iframe=true&amp;def_id=9e3143daad533ab17a6d81a78f756ced&amp;term_occur=4&amp;term_src=Title:26:Chapter:I:Subchapter:A:Part:1:Subjgrp:3:1.513-4" TargetMode="External"/><Relationship Id="rId21" Type="http://schemas.openxmlformats.org/officeDocument/2006/relationships/hyperlink" Target="https://www.law.cornell.edu/definitions/index.php?width=840&amp;height=800&amp;iframe=true&amp;def_id=6ad4e40a0f90c09fe897a79fd096a089&amp;term_occur=3&amp;term_src=Title:26:Chapter:I:Subchapter:A:Part:1:Subjgrp:3:1.513-4" TargetMode="External"/><Relationship Id="rId34" Type="http://schemas.openxmlformats.org/officeDocument/2006/relationships/hyperlink" Target="https://www.law.cornell.edu/definitions/index.php?width=840&amp;height=800&amp;iframe=true&amp;def_id=257267f615c1425ecfa440236e690bff&amp;term_occur=9&amp;term_src=Title:26:Chapter:I:Subchapter:A:Part:1:Subjgrp:3:1.513-4" TargetMode="External"/><Relationship Id="rId42" Type="http://schemas.openxmlformats.org/officeDocument/2006/relationships/hyperlink" Target="https://www.law.cornell.edu/definitions/index.php?width=840&amp;height=800&amp;iframe=true&amp;def_id=4b1bbba0f5b04668657440f678a619fb&amp;term_occur=1&amp;term_src=Title:26:Chapter:I:Subchapter:A:Part:1:Subjgrp:3:1.513-4" TargetMode="External"/><Relationship Id="rId47" Type="http://schemas.openxmlformats.org/officeDocument/2006/relationships/hyperlink" Target="https://www.law.cornell.edu/definitions/index.php?width=840&amp;height=800&amp;iframe=true&amp;def_id=597cbae65b2423d133c46db95b229447&amp;term_occur=2&amp;term_src=Title:26:Chapter:I:Subchapter:A:Part:1:Subjgrp:3:1.513-4"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law.cornell.edu/definitions/index.php?width=840&amp;height=800&amp;iframe=true&amp;def_id=d182633c42c881f75c8112278d830a5d&amp;term_occur=9&amp;term_src=Title:26:Chapter:I:Subchapter:A:Part:1:Subjgrp:3:1.513-4" TargetMode="External"/><Relationship Id="rId12" Type="http://schemas.openxmlformats.org/officeDocument/2006/relationships/hyperlink" Target="https://www.law.cornell.edu/definitions/index.php?width=840&amp;height=800&amp;iframe=true&amp;def_id=480f1eecec6bda4a659f04cad5ddae9a&amp;term_occur=2&amp;term_src=Title:26:Chapter:I:Subchapter:A:Part:1:Subjgrp:3:1.513-4" TargetMode="External"/><Relationship Id="rId17" Type="http://schemas.openxmlformats.org/officeDocument/2006/relationships/hyperlink" Target="https://www.law.cornell.edu/definitions/index.php?width=840&amp;height=800&amp;iframe=true&amp;def_id=409daa72290beb8949ec09afc662d5fe&amp;term_occur=7&amp;term_src=Title:26:Chapter:I:Subchapter:A:Part:1:Subjgrp:3:1.513-4" TargetMode="External"/><Relationship Id="rId25" Type="http://schemas.openxmlformats.org/officeDocument/2006/relationships/hyperlink" Target="https://www.law.cornell.edu/definitions/index.php?width=840&amp;height=800&amp;iframe=true&amp;def_id=bb8c1f064f7d690fee9a693abff4d271&amp;term_occur=1&amp;term_src=Title:26:Chapter:I:Subchapter:A:Part:1:Subjgrp:3:1.513-4" TargetMode="External"/><Relationship Id="rId33" Type="http://schemas.openxmlformats.org/officeDocument/2006/relationships/hyperlink" Target="https://www.law.cornell.edu/definitions/index.php?width=840&amp;height=800&amp;iframe=true&amp;def_id=257267f615c1425ecfa440236e690bff&amp;term_occur=12&amp;term_src=Title:26:Chapter:I:Subchapter:A:Part:1:Subjgrp:3:1.513-4" TargetMode="External"/><Relationship Id="rId38" Type="http://schemas.openxmlformats.org/officeDocument/2006/relationships/hyperlink" Target="https://www.law.cornell.edu/definitions/index.php?width=840&amp;height=800&amp;iframe=true&amp;def_id=3c2d45cdd092f09c89fef14f0de7e3ef&amp;term_occur=1&amp;term_src=Title:26:Chapter:I:Subchapter:A:Part:1:Subjgrp:3:1.513-4" TargetMode="External"/><Relationship Id="rId46" Type="http://schemas.openxmlformats.org/officeDocument/2006/relationships/hyperlink" Target="https://www.law.cornell.edu/definitions/index.php?width=840&amp;height=800&amp;iframe=true&amp;def_id=597cbae65b2423d133c46db95b229447&amp;term_occur=2&amp;term_src=Title:26:Chapter:I:Subchapter:A:Part:1:Subjgrp:3:1.513-4" TargetMode="Externa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409daa72290beb8949ec09afc662d5fe&amp;term_occur=7&amp;term_src=Title:26:Chapter:I:Subchapter:A:Part:1:Subjgrp:3:1.513-4" TargetMode="External"/><Relationship Id="rId20" Type="http://schemas.openxmlformats.org/officeDocument/2006/relationships/hyperlink" Target="https://www.law.cornell.edu/definitions/index.php?width=840&amp;height=800&amp;iframe=true&amp;def_id=257267f615c1425ecfa440236e690bff&amp;term_occur=6&amp;term_src=Title:26:Chapter:I:Subchapter:A:Part:1:Subjgrp:3:1.513-4" TargetMode="External"/><Relationship Id="rId29" Type="http://schemas.openxmlformats.org/officeDocument/2006/relationships/hyperlink" Target="https://www.law.cornell.edu/definitions/index.php?width=840&amp;height=800&amp;iframe=true&amp;def_id=257267f615c1425ecfa440236e690bff&amp;term_occur=10&amp;term_src=Title:26:Chapter:I:Subchapter:A:Part:1:Subjgrp:3:1.513-4" TargetMode="External"/><Relationship Id="rId41" Type="http://schemas.openxmlformats.org/officeDocument/2006/relationships/hyperlink" Target="https://www.law.cornell.edu/definitions/index.php?width=840&amp;height=800&amp;iframe=true&amp;def_id=4b1bbba0f5b04668657440f678a619fb&amp;term_occur=1&amp;term_src=Title:26:Chapter:I:Subchapter:A:Part:1:Subjgrp:3:1.513-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index.php?width=840&amp;height=800&amp;iframe=true&amp;def_id=257267f615c1425ecfa440236e690bff&amp;term_occur=5&amp;term_src=Title:26:Chapter:I:Subchapter:A:Part:1:Subjgrp:3:1.513-4" TargetMode="External"/><Relationship Id="rId24" Type="http://schemas.openxmlformats.org/officeDocument/2006/relationships/hyperlink" Target="https://www.law.cornell.edu/definitions/index.php?width=840&amp;height=800&amp;iframe=true&amp;def_id=bb8c1f064f7d690fee9a693abff4d271&amp;term_occur=1&amp;term_src=Title:26:Chapter:I:Subchapter:A:Part:1:Subjgrp:3:1.513-4" TargetMode="External"/><Relationship Id="rId32" Type="http://schemas.openxmlformats.org/officeDocument/2006/relationships/hyperlink" Target="https://www.law.cornell.edu/definitions/index.php?width=840&amp;height=800&amp;iframe=true&amp;def_id=257267f615c1425ecfa440236e690bff&amp;term_occur=11&amp;term_src=Title:26:Chapter:I:Subchapter:A:Part:1:Subjgrp:3:1.513-4" TargetMode="External"/><Relationship Id="rId37" Type="http://schemas.openxmlformats.org/officeDocument/2006/relationships/hyperlink" Target="https://www.law.cornell.edu/definitions/index.php?width=840&amp;height=800&amp;iframe=true&amp;def_id=3c2d45cdd092f09c89fef14f0de7e3ef&amp;term_occur=1&amp;term_src=Title:26:Chapter:I:Subchapter:A:Part:1:Subjgrp:3:1.513-4" TargetMode="External"/><Relationship Id="rId40" Type="http://schemas.openxmlformats.org/officeDocument/2006/relationships/hyperlink" Target="https://www.law.cornell.edu/definitions/index.php?width=840&amp;height=800&amp;iframe=true&amp;def_id=9e3143daad533ab17a6d81a78f756ced&amp;term_occur=4&amp;term_src=Title:26:Chapter:I:Subchapter:A:Part:1:Subjgrp:3:1.513-4" TargetMode="External"/><Relationship Id="rId45" Type="http://schemas.openxmlformats.org/officeDocument/2006/relationships/hyperlink" Target="https://www.law.cornell.edu/definitions/index.php?width=840&amp;height=800&amp;iframe=true&amp;def_id=1ee8b271eb9ee59e360e16676f011b3d&amp;term_occur=10&amp;term_src=Title:26:Chapter:I:Subchapter:A:Part:1:Subjgrp:3:1.513-4"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aw.cornell.edu/definitions/index.php?width=840&amp;height=800&amp;iframe=true&amp;def_id=7ca1e9fb0e8810b08b92d40146884b17&amp;term_occur=2&amp;term_src=Title:26:Chapter:I:Subchapter:A:Part:1:Subjgrp:3:1.513-4" TargetMode="External"/><Relationship Id="rId23" Type="http://schemas.openxmlformats.org/officeDocument/2006/relationships/hyperlink" Target="https://www.law.cornell.edu/definitions/index.php?width=840&amp;height=800&amp;iframe=true&amp;def_id=257267f615c1425ecfa440236e690bff&amp;term_occur=7&amp;term_src=Title:26:Chapter:I:Subchapter:A:Part:1:Subjgrp:3:1.513-4" TargetMode="External"/><Relationship Id="rId28" Type="http://schemas.openxmlformats.org/officeDocument/2006/relationships/hyperlink" Target="https://www.law.cornell.edu/definitions/index.php?width=840&amp;height=800&amp;iframe=true&amp;def_id=6ad4e40a0f90c09fe897a79fd096a089&amp;term_occur=4&amp;term_src=Title:26:Chapter:I:Subchapter:A:Part:1:Subjgrp:3:1.513-4" TargetMode="External"/><Relationship Id="rId36" Type="http://schemas.openxmlformats.org/officeDocument/2006/relationships/hyperlink" Target="https://www.law.cornell.edu/definitions/index.php?width=840&amp;height=800&amp;iframe=true&amp;def_id=409daa72290beb8949ec09afc662d5fe&amp;term_occur=8&amp;term_src=Title:26:Chapter:I:Subchapter:A:Part:1:Subjgrp:3:1.513-4" TargetMode="External"/><Relationship Id="rId49" Type="http://schemas.openxmlformats.org/officeDocument/2006/relationships/header" Target="header2.xml"/><Relationship Id="rId10" Type="http://schemas.openxmlformats.org/officeDocument/2006/relationships/hyperlink" Target="https://www.law.cornell.edu/definitions/index.php?width=840&amp;height=800&amp;iframe=true&amp;def_id=9367dd48fec782ca959fb745034a940d&amp;term_occur=1&amp;term_src=Title:26:Chapter:I:Subchapter:A:Part:1:Subjgrp:3:1.513-4" TargetMode="External"/><Relationship Id="rId19" Type="http://schemas.openxmlformats.org/officeDocument/2006/relationships/hyperlink" Target="https://www.law.cornell.edu/definitions/index.php?width=840&amp;height=800&amp;iframe=true&amp;def_id=82c34dbf383d59863b57475838377d3c&amp;term_occur=1&amp;term_src=Title:26:Chapter:I:Subchapter:A:Part:1:Subjgrp:3:1.513-4" TargetMode="External"/><Relationship Id="rId31" Type="http://schemas.openxmlformats.org/officeDocument/2006/relationships/hyperlink" Target="https://www.law.cornell.edu/definitions/index.php?width=840&amp;height=800&amp;iframe=true&amp;def_id=9367dd48fec782ca959fb745034a940d&amp;term_occur=2&amp;term_src=Title:26:Chapter:I:Subchapter:A:Part:1:Subjgrp:3:1.513-4" TargetMode="External"/><Relationship Id="rId44" Type="http://schemas.openxmlformats.org/officeDocument/2006/relationships/hyperlink" Target="https://www.law.cornell.edu/definitions/index.php?width=840&amp;height=800&amp;iframe=true&amp;def_id=1ee8b271eb9ee59e360e16676f011b3d&amp;term_occur=10&amp;term_src=Title:26:Chapter:I:Subchapter:A:Part:1:Subjgrp:3:1.513-4"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9367dd48fec782ca959fb745034a940d&amp;term_occur=1&amp;term_src=Title:26:Chapter:I:Subchapter:A:Part:1:Subjgrp:3:1.513-4" TargetMode="External"/><Relationship Id="rId14" Type="http://schemas.openxmlformats.org/officeDocument/2006/relationships/hyperlink" Target="https://www.law.cornell.edu/definitions/index.php?width=840&amp;height=800&amp;iframe=true&amp;def_id=7ca1e9fb0e8810b08b92d40146884b17&amp;term_occur=2&amp;term_src=Title:26:Chapter:I:Subchapter:A:Part:1:Subjgrp:3:1.513-4" TargetMode="External"/><Relationship Id="rId22" Type="http://schemas.openxmlformats.org/officeDocument/2006/relationships/hyperlink" Target="https://www.law.cornell.edu/definitions/index.php?width=840&amp;height=800&amp;iframe=true&amp;def_id=6ad4e40a0f90c09fe897a79fd096a089&amp;term_occur=3&amp;term_src=Title:26:Chapter:I:Subchapter:A:Part:1:Subjgrp:3:1.513-4" TargetMode="External"/><Relationship Id="rId27" Type="http://schemas.openxmlformats.org/officeDocument/2006/relationships/hyperlink" Target="https://www.law.cornell.edu/definitions/index.php?width=840&amp;height=800&amp;iframe=true&amp;def_id=6ad4e40a0f90c09fe897a79fd096a089&amp;term_occur=4&amp;term_src=Title:26:Chapter:I:Subchapter:A:Part:1:Subjgrp:3:1.513-4" TargetMode="External"/><Relationship Id="rId30" Type="http://schemas.openxmlformats.org/officeDocument/2006/relationships/hyperlink" Target="https://www.law.cornell.edu/definitions/index.php?width=840&amp;height=800&amp;iframe=true&amp;def_id=9367dd48fec782ca959fb745034a940d&amp;term_occur=2&amp;term_src=Title:26:Chapter:I:Subchapter:A:Part:1:Subjgrp:3:1.513-4" TargetMode="External"/><Relationship Id="rId35" Type="http://schemas.openxmlformats.org/officeDocument/2006/relationships/hyperlink" Target="https://www.law.cornell.edu/definitions/index.php?width=840&amp;height=800&amp;iframe=true&amp;def_id=409daa72290beb8949ec09afc662d5fe&amp;term_occur=8&amp;term_src=Title:26:Chapter:I:Subchapter:A:Part:1:Subjgrp:3:1.513-4" TargetMode="External"/><Relationship Id="rId43" Type="http://schemas.openxmlformats.org/officeDocument/2006/relationships/hyperlink" Target="https://www.law.cornell.edu/definitions/index.php?width=840&amp;height=800&amp;iframe=true&amp;def_id=257267f615c1425ecfa440236e690bff&amp;term_occur=13&amp;term_src=Title:26:Chapter:I:Subchapter:A:Part:1:Subjgrp:3:1.513-4" TargetMode="External"/><Relationship Id="rId48" Type="http://schemas.openxmlformats.org/officeDocument/2006/relationships/header" Target="header1.xml"/><Relationship Id="rId8" Type="http://schemas.openxmlformats.org/officeDocument/2006/relationships/hyperlink" Target="https://www.law.cornell.edu/definitions/index.php?width=840&amp;height=800&amp;iframe=true&amp;def_id=d182633c42c881f75c8112278d830a5d&amp;term_occur=9&amp;term_src=Title:26:Chapter:I:Subchapter:A:Part:1:Subjgrp:3:1.513-4"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Cheryl - lindsacl</dc:creator>
  <cp:lastModifiedBy>Hudson, Vicki P - hudsonvp</cp:lastModifiedBy>
  <cp:revision>6</cp:revision>
  <dcterms:created xsi:type="dcterms:W3CDTF">2017-05-24T17:53:00Z</dcterms:created>
  <dcterms:modified xsi:type="dcterms:W3CDTF">2017-09-28T19:31:00Z</dcterms:modified>
</cp:coreProperties>
</file>