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65" w:rsidRPr="00434665" w:rsidRDefault="00434665" w:rsidP="00434665">
      <w:pPr>
        <w:spacing w:after="100" w:afterAutospacing="1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55"/>
          <w:szCs w:val="55"/>
        </w:rPr>
      </w:pPr>
      <w:r>
        <w:rPr>
          <w:rFonts w:ascii="Segoe UI" w:eastAsia="Times New Roman" w:hAnsi="Segoe UI" w:cs="Segoe UI"/>
          <w:color w:val="000000"/>
          <w:kern w:val="36"/>
          <w:sz w:val="55"/>
          <w:szCs w:val="55"/>
        </w:rPr>
        <w:t>Mobile device mailbox policies</w:t>
      </w:r>
      <w:r w:rsidR="00927E4C">
        <w:rPr>
          <w:rFonts w:ascii="Segoe UI" w:eastAsia="Times New Roman" w:hAnsi="Segoe UI" w:cs="Segoe UI"/>
          <w:color w:val="000000"/>
          <w:kern w:val="36"/>
          <w:sz w:val="55"/>
          <w:szCs w:val="55"/>
        </w:rPr>
        <w:t xml:space="preserve"> in Exchange 2016</w:t>
      </w:r>
      <w:bookmarkStart w:id="0" w:name="_GoBack"/>
      <w:bookmarkEnd w:id="0"/>
    </w:p>
    <w:p w:rsidR="00434665" w:rsidRPr="00434665" w:rsidRDefault="00434665" w:rsidP="00434665">
      <w:pPr>
        <w:spacing w:line="240" w:lineRule="auto"/>
        <w:rPr>
          <w:rFonts w:ascii="Segoe UI" w:eastAsia="Times New Roman" w:hAnsi="Segoe UI" w:cs="Segoe UI"/>
          <w:color w:val="5D5D5D"/>
          <w:sz w:val="20"/>
          <w:szCs w:val="20"/>
        </w:rPr>
      </w:pPr>
      <w:r w:rsidRPr="00434665">
        <w:rPr>
          <w:rFonts w:ascii="Segoe UI" w:eastAsia="Times New Roman" w:hAnsi="Segoe UI" w:cs="Segoe UI"/>
          <w:b/>
          <w:bCs/>
          <w:color w:val="5D5D5D"/>
          <w:sz w:val="20"/>
          <w:szCs w:val="20"/>
        </w:rPr>
        <w:t xml:space="preserve">Exchange </w:t>
      </w:r>
      <w:r>
        <w:rPr>
          <w:rFonts w:ascii="Segoe UI" w:eastAsia="Times New Roman" w:hAnsi="Segoe UI" w:cs="Segoe UI"/>
          <w:b/>
          <w:bCs/>
          <w:color w:val="5D5D5D"/>
          <w:sz w:val="20"/>
          <w:szCs w:val="20"/>
        </w:rPr>
        <w:t>2016</w:t>
      </w:r>
    </w:p>
    <w:p w:rsidR="00434665" w:rsidRPr="00434665" w:rsidRDefault="00434665" w:rsidP="00434665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34665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434665" w:rsidRPr="00434665" w:rsidRDefault="00434665" w:rsidP="00434665">
      <w:pPr>
        <w:spacing w:after="0" w:line="312" w:lineRule="atLeast"/>
        <w:outlineLvl w:val="1"/>
        <w:rPr>
          <w:rFonts w:ascii="Segoe UI Semibold" w:eastAsia="Times New Roman" w:hAnsi="Segoe UI Semibold" w:cs="Segoe UI Semibold"/>
          <w:color w:val="000000"/>
          <w:sz w:val="20"/>
          <w:szCs w:val="20"/>
        </w:rPr>
      </w:pPr>
      <w:r w:rsidRPr="00434665">
        <w:rPr>
          <w:rFonts w:ascii="Segoe UI Semibold" w:eastAsia="Times New Roman" w:hAnsi="Segoe UI Semibold" w:cs="Segoe UI Semibold"/>
          <w:color w:val="000000"/>
          <w:sz w:val="35"/>
          <w:szCs w:val="35"/>
        </w:rPr>
        <w:t>Overview of mobile device mailbox policies</w:t>
      </w:r>
    </w:p>
    <w:p w:rsidR="00434665" w:rsidRPr="00434665" w:rsidRDefault="00434665" w:rsidP="00434665">
      <w:p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You can use mobile device mailbox policies to manage many different settings. These include the following:</w:t>
      </w:r>
    </w:p>
    <w:p w:rsidR="00434665" w:rsidRPr="00434665" w:rsidRDefault="00434665" w:rsidP="00434665">
      <w:pPr>
        <w:numPr>
          <w:ilvl w:val="0"/>
          <w:numId w:val="4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Require a password</w:t>
      </w:r>
    </w:p>
    <w:p w:rsidR="00434665" w:rsidRPr="00434665" w:rsidRDefault="00434665" w:rsidP="00434665">
      <w:pPr>
        <w:numPr>
          <w:ilvl w:val="0"/>
          <w:numId w:val="4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Specify the minimum password length</w:t>
      </w:r>
    </w:p>
    <w:p w:rsidR="00434665" w:rsidRPr="00434665" w:rsidRDefault="00434665" w:rsidP="00434665">
      <w:pPr>
        <w:numPr>
          <w:ilvl w:val="0"/>
          <w:numId w:val="4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Allow a numeric PIN or require special characters in the password</w:t>
      </w:r>
    </w:p>
    <w:p w:rsidR="00434665" w:rsidRPr="00434665" w:rsidRDefault="00434665" w:rsidP="00434665">
      <w:pPr>
        <w:numPr>
          <w:ilvl w:val="0"/>
          <w:numId w:val="4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Designate how long a device can be inactive before requiring the user to re-enter a password</w:t>
      </w:r>
    </w:p>
    <w:p w:rsidR="00434665" w:rsidRPr="00434665" w:rsidRDefault="00434665" w:rsidP="00434665">
      <w:pPr>
        <w:numPr>
          <w:ilvl w:val="0"/>
          <w:numId w:val="4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</w:rPr>
      </w:pPr>
      <w:r w:rsidRPr="00434665">
        <w:rPr>
          <w:rFonts w:ascii="Segoe UI" w:eastAsia="Times New Roman" w:hAnsi="Segoe UI" w:cs="Segoe UI"/>
          <w:color w:val="2A2A2A"/>
          <w:sz w:val="20"/>
          <w:szCs w:val="20"/>
        </w:rPr>
        <w:t>Wipe a device after a specific number of failed password attempts</w:t>
      </w:r>
    </w:p>
    <w:p w:rsidR="00434665" w:rsidRPr="00434665" w:rsidRDefault="00434665" w:rsidP="00434665">
      <w:pPr>
        <w:spacing w:after="0" w:line="240" w:lineRule="auto"/>
        <w:outlineLvl w:val="2"/>
        <w:rPr>
          <w:rFonts w:ascii="Segoe UI Semibold" w:eastAsia="Times New Roman" w:hAnsi="Segoe UI Semibold" w:cs="Segoe UI Semibold"/>
          <w:color w:val="000000"/>
          <w:sz w:val="25"/>
          <w:szCs w:val="25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"/>
      </w:tblPr>
      <w:tblGrid>
        <w:gridCol w:w="2372"/>
        <w:gridCol w:w="6972"/>
      </w:tblGrid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434665" w:rsidRPr="00434665" w:rsidRDefault="00434665" w:rsidP="004346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636363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b/>
                <w:bCs/>
                <w:color w:val="636363"/>
                <w:sz w:val="24"/>
                <w:szCs w:val="24"/>
              </w:rPr>
              <w:t>Setting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DEDED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434665" w:rsidRPr="00434665" w:rsidRDefault="00434665" w:rsidP="0043466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636363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b/>
                <w:bCs/>
                <w:color w:val="636363"/>
                <w:sz w:val="24"/>
                <w:szCs w:val="24"/>
              </w:rPr>
              <w:t>Description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Bluetooth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a mobile device allows Bluetooth connections. The available options are Disable, 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HandsFree</w:t>
            </w:r>
            <w:proofErr w:type="spell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Only, and Allow. The default value is Allow.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Browser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Pocket Internet Explorer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 This setting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doesn't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affect third-party browsers installed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Camera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mobile device camera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used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Allow Consumer 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mobile device user can configure a personal email account (either POP3 or IMAP4)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. This setting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doesn’t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control access to email accounts that are using third-party mobile device email programs.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Desktop Sync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mobile device can synchronize with a computer through a cable, Bluetooth, or IrDA connection.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lastRenderedPageBreak/>
              <w:t>Allow External Device Management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an external device management program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manage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HTML Email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email synchronized to the mobile device can be in HTML format. If this setting is set to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$false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, all email is converted to plain text.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Internet Sharing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mobile device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used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as a modem for a desktop or a portable computer.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AllowIrDA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infrared connections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are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and from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Mobile OTA Update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mobile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device mailbox policy settings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can be sent to the mobile device over a cellular data connection.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non-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provisionable</w:t>
            </w:r>
            <w:proofErr w:type="spell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devices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mobile devices that may not support application of all policy settings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are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connect to Office 365 by using Exchange ActiveSync. Allowing non-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provisionable</w:t>
            </w:r>
            <w:proofErr w:type="spell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mobile devices has security implications. For example, some non-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provisionable</w:t>
            </w:r>
            <w:proofErr w:type="spell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devices may not be able to implement an organization’s password requirements.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Allow 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POPIMAPEmail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user can configure a POP3 or an IMAP4 email account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. This setting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doesn’t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control access by third-party email programs.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Remote Desktop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mobile device can initiate a remote desktop connection.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simple password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enables or disables the ability to use a simple password such as 1111 or 1234.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S/MIME encryption algorithm negotiation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messaging application on the mobile device can negotiate the encryption algorithm if a recipient’s certificate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doesn’t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support the specified encryption algorithm.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S/MIME software certificates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S/MIME software certificates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are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lastRenderedPageBreak/>
              <w:t>Allow storage card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mobile device can access information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that's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stored on a storage card.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text messaging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text messaging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from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unsigned applications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unsigned applications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installed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unsigned installation packages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an unsigned installation package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run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Allow Wi-Fi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wireless Internet access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allowed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Alphanumeric password required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requires that a password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contains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numeric and non-numeric characters.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Approved Application List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stores a list of approved applications that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run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Attachments enabled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enables attachments to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be downloaded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the mobile device.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Device encryption enabled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enables encryption on the mobile device. Not all mobile devices can enforce encryption. For more information, see the device and mobile operating system documentation.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Device policy refresh interval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how often the mobile device mailbox policy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sent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from the server to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IRM enabled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Information Rights Management (IRM)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is enabled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on the mobile device.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attachment size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controls the maximum size of attachments that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downloaded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the mobile device. The default value is Unlimited.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calendar age filter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the maximum range of calendar days that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synchronized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the mobile device. The following values are accepted:</w:t>
            </w:r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</w:t>
            </w:r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OneDay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ThreeDays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lastRenderedPageBreak/>
              <w:t>OneWeek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TwoWeeks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5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OneMonth</w:t>
            </w:r>
            <w:proofErr w:type="spellEnd"/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lastRenderedPageBreak/>
              <w:t>Max email age filter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the maximum number of days of email items to synchronize to the mobile device. The following values are accepted:</w:t>
            </w:r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All</w:t>
            </w:r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OneDay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ThreeDays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OneWeek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TwoWeeks</w:t>
            </w:r>
            <w:proofErr w:type="spellEnd"/>
          </w:p>
          <w:p w:rsidR="00434665" w:rsidRPr="00434665" w:rsidRDefault="00434665" w:rsidP="00434665">
            <w:pPr>
              <w:numPr>
                <w:ilvl w:val="0"/>
                <w:numId w:val="6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OneMonth</w:t>
            </w:r>
            <w:proofErr w:type="spellEnd"/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email body truncation size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the maximum size at which email messages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are truncated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when synchronized to the mobile device. The value is in kilobytes (KB).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email HTML body truncation size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the maximum size at which HTML email messages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are truncated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when synchronized to the mobile device. The value is in kilobytes (KB).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inactivity time lock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value specifies the length of time that the mobile device can be inactive before a password is required to reactivate it. You can enter any interval between 30 seconds and 1 hour. The default value is 15 minutes.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Max password failed attempts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the number of attempts a user can make to enter the correct password for the mobile device. You can enter any number from 4 through 16. The default value is 8.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Min password complex characters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the minimum number of complex characters required in the mobile device’s password. A complex character is a character that is not a letter.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Min password length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the minimum number of characters in the mobile device password. You can enter any number from 1 through 16. The default value is 4.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Password enabled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enables the mobile device password.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Password expiration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enables the administrator to configure a length of time after which a mobile device password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must be changed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lastRenderedPageBreak/>
              <w:t>Password history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the number of past passwords that can be stored in a user's mailbox. A user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can't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reuse a stored password.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Password recovery enabled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When this setting is enabled, the mobile device generates a recovery password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that's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sent to the server. If the user forgets their mobile device password, the recovery password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can be used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to unlock the mobile device and enable the user to create a new mobile device password.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device encryption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device encryption is required. If set to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$true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, the mobile device must be able to support and implement encryption to synchronize with the server.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encrypted S/MIME messages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S/MIME messages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must be encrypted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 The default value is </w:t>
            </w:r>
            <w:r w:rsidRPr="00434665">
              <w:rPr>
                <w:rFonts w:ascii="Courier New" w:eastAsia="Times New Roman" w:hAnsi="Courier New" w:cs="Courier New"/>
                <w:color w:val="2A2A2A"/>
                <w:sz w:val="20"/>
                <w:szCs w:val="20"/>
              </w:rPr>
              <w:t>$false</w:t>
            </w: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encryption S/MIME algorithm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what required algorithm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must be used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when encrypting S/MIME messages.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manual synchronization while roaming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mobile device must synchronize manually while roaming. Allowing automatic synchronization while roaming will frequently lead to larger-than-expected data costs for the mobile device data plan.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signed S/MIME algorithm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what required algorithm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must be used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when signing a message.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signed S/MIME messages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whether the mobile device must send signed S/MIME messages.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Require storage card encryption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This setting specifies whether the storage card </w:t>
            </w:r>
            <w:proofErr w:type="gram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must be encrypted</w:t>
            </w:r>
            <w:proofErr w:type="gram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. Not all mobile device operating systems support storage card encryption. For more information, see your mobile device and mobile operating system documentation.</w:t>
            </w:r>
          </w:p>
        </w:tc>
      </w:tr>
      <w:tr w:rsidR="00434665" w:rsidRPr="00434665" w:rsidTr="004346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Unapproved </w:t>
            </w:r>
            <w:proofErr w:type="spellStart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InROM</w:t>
            </w:r>
            <w:proofErr w:type="spellEnd"/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application list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:rsidR="00434665" w:rsidRPr="00434665" w:rsidRDefault="00434665" w:rsidP="004346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 w:rsidRPr="00434665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This setting specifies a list of applications that cannot be run in ROM.</w:t>
            </w:r>
          </w:p>
        </w:tc>
      </w:tr>
    </w:tbl>
    <w:p w:rsidR="00877851" w:rsidRPr="00434665" w:rsidRDefault="00877851" w:rsidP="00434665"/>
    <w:sectPr w:rsidR="00877851" w:rsidRPr="0043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58F"/>
    <w:multiLevelType w:val="multilevel"/>
    <w:tmpl w:val="C56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2808"/>
    <w:multiLevelType w:val="multilevel"/>
    <w:tmpl w:val="D464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23142"/>
    <w:multiLevelType w:val="multilevel"/>
    <w:tmpl w:val="D53E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7755D"/>
    <w:multiLevelType w:val="multilevel"/>
    <w:tmpl w:val="656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836F5"/>
    <w:multiLevelType w:val="multilevel"/>
    <w:tmpl w:val="1A4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D5C4F"/>
    <w:multiLevelType w:val="multilevel"/>
    <w:tmpl w:val="102A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70"/>
    <w:rsid w:val="00434665"/>
    <w:rsid w:val="00877851"/>
    <w:rsid w:val="00927E4C"/>
    <w:rsid w:val="00A33B1A"/>
    <w:rsid w:val="00D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D100"/>
  <w15:chartTrackingRefBased/>
  <w15:docId w15:val="{6A2DE9C3-ABBE-4138-8357-256E2AB7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4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04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A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4A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04A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04A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4A70"/>
    <w:rPr>
      <w:i/>
      <w:iCs/>
    </w:rPr>
  </w:style>
  <w:style w:type="character" w:customStyle="1" w:styleId="apple-converted-space">
    <w:name w:val="apple-converted-space"/>
    <w:basedOn w:val="DefaultParagraphFont"/>
    <w:rsid w:val="00D04A70"/>
  </w:style>
  <w:style w:type="character" w:customStyle="1" w:styleId="lwcollapsibleareatitle">
    <w:name w:val="lw_collapsiblearea_title"/>
    <w:basedOn w:val="DefaultParagraphFont"/>
    <w:rsid w:val="00D04A70"/>
  </w:style>
  <w:style w:type="character" w:styleId="HTMLCode">
    <w:name w:val="HTML Code"/>
    <w:basedOn w:val="DefaultParagraphFont"/>
    <w:uiPriority w:val="99"/>
    <w:semiHidden/>
    <w:unhideWhenUsed/>
    <w:rsid w:val="00D04A70"/>
    <w:rPr>
      <w:rFonts w:ascii="Courier New" w:eastAsia="Times New Roman" w:hAnsi="Courier New" w:cs="Courier New"/>
      <w:sz w:val="20"/>
      <w:szCs w:val="20"/>
    </w:rPr>
  </w:style>
  <w:style w:type="character" w:customStyle="1" w:styleId="feedbackcss">
    <w:name w:val="feedbackcss"/>
    <w:basedOn w:val="DefaultParagraphFont"/>
    <w:rsid w:val="00D0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40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9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8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6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51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2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Joel Andrew - smit33ja</dc:creator>
  <cp:keywords/>
  <dc:description/>
  <cp:lastModifiedBy>Smith, Joel Andrew - smit33ja</cp:lastModifiedBy>
  <cp:revision>3</cp:revision>
  <dcterms:created xsi:type="dcterms:W3CDTF">2017-01-19T14:38:00Z</dcterms:created>
  <dcterms:modified xsi:type="dcterms:W3CDTF">2017-01-19T14:39:00Z</dcterms:modified>
</cp:coreProperties>
</file>