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65" w:rsidRPr="00434665" w:rsidRDefault="00434665" w:rsidP="00434665">
      <w:pPr>
        <w:spacing w:after="100" w:afterAutospacing="1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55"/>
          <w:szCs w:val="55"/>
        </w:rPr>
      </w:pPr>
      <w:r>
        <w:rPr>
          <w:rFonts w:ascii="Segoe UI" w:eastAsia="Times New Roman" w:hAnsi="Segoe UI" w:cs="Segoe UI"/>
          <w:color w:val="000000"/>
          <w:kern w:val="36"/>
          <w:sz w:val="55"/>
          <w:szCs w:val="55"/>
        </w:rPr>
        <w:t>Mobile device mailbox policies</w:t>
      </w:r>
      <w:r w:rsidR="00927E4C">
        <w:rPr>
          <w:rFonts w:ascii="Segoe UI" w:eastAsia="Times New Roman" w:hAnsi="Segoe UI" w:cs="Segoe UI"/>
          <w:color w:val="000000"/>
          <w:kern w:val="36"/>
          <w:sz w:val="55"/>
          <w:szCs w:val="55"/>
        </w:rPr>
        <w:t xml:space="preserve"> in Exchange 2016</w:t>
      </w:r>
      <w:bookmarkStart w:id="0" w:name="_GoBack"/>
      <w:bookmarkEnd w:id="0"/>
    </w:p>
    <w:p w:rsidR="00434665" w:rsidRPr="00434665" w:rsidRDefault="00434665" w:rsidP="00434665">
      <w:pPr>
        <w:spacing w:line="240" w:lineRule="auto"/>
        <w:rPr>
          <w:rFonts w:ascii="Segoe UI" w:eastAsia="Times New Roman" w:hAnsi="Segoe UI" w:cs="Segoe UI"/>
          <w:color w:val="5D5D5D"/>
          <w:sz w:val="20"/>
          <w:szCs w:val="20"/>
        </w:rPr>
      </w:pPr>
      <w:r w:rsidRPr="00434665">
        <w:rPr>
          <w:rFonts w:ascii="Segoe UI" w:eastAsia="Times New Roman" w:hAnsi="Segoe UI" w:cs="Segoe UI"/>
          <w:b/>
          <w:bCs/>
          <w:color w:val="5D5D5D"/>
          <w:sz w:val="20"/>
          <w:szCs w:val="20"/>
        </w:rPr>
        <w:t xml:space="preserve">Exchange </w:t>
      </w:r>
      <w:r>
        <w:rPr>
          <w:rFonts w:ascii="Segoe UI" w:eastAsia="Times New Roman" w:hAnsi="Segoe UI" w:cs="Segoe UI"/>
          <w:b/>
          <w:bCs/>
          <w:color w:val="5D5D5D"/>
          <w:sz w:val="20"/>
          <w:szCs w:val="20"/>
        </w:rPr>
        <w:t>2016</w:t>
      </w:r>
    </w:p>
    <w:p w:rsidR="00434665" w:rsidRPr="00434665" w:rsidRDefault="00434665" w:rsidP="0043466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34665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434665" w:rsidRPr="00434665" w:rsidRDefault="00434665" w:rsidP="00434665">
      <w:pPr>
        <w:spacing w:after="0" w:line="312" w:lineRule="atLeast"/>
        <w:outlineLvl w:val="1"/>
        <w:rPr>
          <w:rFonts w:ascii="Segoe UI Semibold" w:eastAsia="Times New Roman" w:hAnsi="Segoe UI Semibold" w:cs="Segoe UI Semibold"/>
          <w:color w:val="000000"/>
          <w:sz w:val="20"/>
          <w:szCs w:val="20"/>
        </w:rPr>
      </w:pPr>
      <w:r w:rsidRPr="00434665">
        <w:rPr>
          <w:rFonts w:ascii="Segoe UI Semibold" w:eastAsia="Times New Roman" w:hAnsi="Segoe UI Semibold" w:cs="Segoe UI Semibold"/>
          <w:color w:val="000000"/>
          <w:sz w:val="35"/>
          <w:szCs w:val="35"/>
        </w:rPr>
        <w:t>Overview of mobile device mailbox policies</w:t>
      </w:r>
    </w:p>
    <w:p w:rsidR="00434665" w:rsidRPr="00434665" w:rsidRDefault="00434665" w:rsidP="00434665">
      <w:pPr>
        <w:spacing w:after="0" w:line="270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434665">
        <w:rPr>
          <w:rFonts w:ascii="Segoe UI" w:eastAsia="Times New Roman" w:hAnsi="Segoe UI" w:cs="Segoe UI"/>
          <w:color w:val="2A2A2A"/>
          <w:sz w:val="20"/>
          <w:szCs w:val="20"/>
        </w:rPr>
        <w:t>You can use mobile device mailbox policies to manage many different settings. These include the following:</w:t>
      </w:r>
    </w:p>
    <w:p w:rsidR="00434665" w:rsidRPr="00434665" w:rsidRDefault="00434665" w:rsidP="00434665">
      <w:pPr>
        <w:numPr>
          <w:ilvl w:val="0"/>
          <w:numId w:val="4"/>
        </w:numPr>
        <w:spacing w:after="0" w:line="270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434665">
        <w:rPr>
          <w:rFonts w:ascii="Segoe UI" w:eastAsia="Times New Roman" w:hAnsi="Segoe UI" w:cs="Segoe UI"/>
          <w:color w:val="2A2A2A"/>
          <w:sz w:val="20"/>
          <w:szCs w:val="20"/>
        </w:rPr>
        <w:t>Require a password</w:t>
      </w:r>
    </w:p>
    <w:p w:rsidR="00434665" w:rsidRPr="00434665" w:rsidRDefault="00434665" w:rsidP="00434665">
      <w:pPr>
        <w:numPr>
          <w:ilvl w:val="0"/>
          <w:numId w:val="4"/>
        </w:numPr>
        <w:spacing w:after="0" w:line="270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434665">
        <w:rPr>
          <w:rFonts w:ascii="Segoe UI" w:eastAsia="Times New Roman" w:hAnsi="Segoe UI" w:cs="Segoe UI"/>
          <w:color w:val="2A2A2A"/>
          <w:sz w:val="20"/>
          <w:szCs w:val="20"/>
        </w:rPr>
        <w:t>Specify the minimum password length</w:t>
      </w:r>
    </w:p>
    <w:p w:rsidR="00434665" w:rsidRPr="00434665" w:rsidRDefault="00434665" w:rsidP="00434665">
      <w:pPr>
        <w:numPr>
          <w:ilvl w:val="0"/>
          <w:numId w:val="4"/>
        </w:numPr>
        <w:spacing w:after="0" w:line="270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434665">
        <w:rPr>
          <w:rFonts w:ascii="Segoe UI" w:eastAsia="Times New Roman" w:hAnsi="Segoe UI" w:cs="Segoe UI"/>
          <w:color w:val="2A2A2A"/>
          <w:sz w:val="20"/>
          <w:szCs w:val="20"/>
        </w:rPr>
        <w:t>Allow a numeric PIN or require special characters in the password</w:t>
      </w:r>
    </w:p>
    <w:p w:rsidR="00434665" w:rsidRPr="00434665" w:rsidRDefault="00434665" w:rsidP="00434665">
      <w:pPr>
        <w:numPr>
          <w:ilvl w:val="0"/>
          <w:numId w:val="4"/>
        </w:numPr>
        <w:spacing w:after="0" w:line="270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434665">
        <w:rPr>
          <w:rFonts w:ascii="Segoe UI" w:eastAsia="Times New Roman" w:hAnsi="Segoe UI" w:cs="Segoe UI"/>
          <w:color w:val="2A2A2A"/>
          <w:sz w:val="20"/>
          <w:szCs w:val="20"/>
        </w:rPr>
        <w:t>Designate how long a device can be inactive before requiring the user to re-enter a password</w:t>
      </w:r>
    </w:p>
    <w:p w:rsidR="00434665" w:rsidRPr="00434665" w:rsidRDefault="00434665" w:rsidP="00434665">
      <w:pPr>
        <w:numPr>
          <w:ilvl w:val="0"/>
          <w:numId w:val="4"/>
        </w:numPr>
        <w:spacing w:after="0" w:line="270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434665">
        <w:rPr>
          <w:rFonts w:ascii="Segoe UI" w:eastAsia="Times New Roman" w:hAnsi="Segoe UI" w:cs="Segoe UI"/>
          <w:color w:val="2A2A2A"/>
          <w:sz w:val="20"/>
          <w:szCs w:val="20"/>
        </w:rPr>
        <w:t>Wipe a device after a specific number of failed password attempts</w:t>
      </w:r>
    </w:p>
    <w:p w:rsidR="00434665" w:rsidRPr="00434665" w:rsidRDefault="00434665" w:rsidP="00434665">
      <w:pPr>
        <w:spacing w:after="0" w:line="240" w:lineRule="auto"/>
        <w:outlineLvl w:val="2"/>
        <w:rPr>
          <w:rFonts w:ascii="Segoe UI Semibold" w:eastAsia="Times New Roman" w:hAnsi="Segoe UI Semibold" w:cs="Segoe UI Semibold"/>
          <w:color w:val="000000"/>
          <w:sz w:val="25"/>
          <w:szCs w:val="25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2372"/>
        <w:gridCol w:w="6972"/>
      </w:tblGrid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DEDED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34665" w:rsidRPr="00434665" w:rsidRDefault="00434665" w:rsidP="0043466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</w:rPr>
              <w:t>Setting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DEDED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434665" w:rsidRPr="00434665" w:rsidRDefault="00434665" w:rsidP="0043466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</w:rPr>
              <w:t>Description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Bluetooth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a mobile device allows Bluetooth connections. The available options are Disable, </w:t>
            </w: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HandsFree</w:t>
            </w:r>
            <w:proofErr w:type="spell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Only, and Allow. The default value is Allow.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Browser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Pocket Internet Explorer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is allowed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on the mobile device. This setting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doesn't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affect third-party browsers installed on the mobile device.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Camera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the mobile device camera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can be used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Allow Consumer </w:t>
            </w: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specifies whether the mobile device user can configure a personal email account (either POP3 or IMAP4) on the mobile device.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. This setting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doesn’t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control access to email accounts that are using third-party mobile device email programs.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Desktop Sync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specifies whether the mobile device can synchronize with a computer through a cable, Bluetooth, or IrDA connection.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Allow External Device Management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an external device management program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is allowed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to manage the mobile device.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HTML Email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specifies whether email synchronized to the mobile device can be in HTML format. If this setting is set to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$false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all email is converted to plain text.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Internet Sharing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the mobile device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can be used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as a modem for a desktop or a portable computer.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AllowIrDA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infrared connections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are allowed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to and from the mobile device.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Mobile OTA Update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the mobile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device mailbox policy settings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can be sent to the mobile device over a cellular data connection.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non-</w:t>
            </w: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provisionable</w:t>
            </w:r>
            <w:proofErr w:type="spell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devices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mobile devices that may not support application of all policy settings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are allowed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to connect to Office 365 by using Exchange ActiveSync. Allowing non-</w:t>
            </w: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provisionable</w:t>
            </w:r>
            <w:proofErr w:type="spell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mobile devices has security implications. For example, some non-</w:t>
            </w: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provisionable</w:t>
            </w:r>
            <w:proofErr w:type="spell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devices may not be able to implement an organization’s password requirements.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Allow </w:t>
            </w: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POPIMAPEmail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specifies whether the user can configure a POP3 or an IMAP4 email account on the mobile device.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. This setting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doesn’t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control access by third-party email programs.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Remote Desktop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specifies whether the mobile device can initiate a remote desktop connection.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simple password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enables or disables the ability to use a simple password such as 1111 or 1234.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S/MIME encryption algorithm negotiation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the messaging application on the mobile device can negotiate the encryption algorithm if a recipient’s certificate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doesn’t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support the specified encryption algorithm.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S/MIME software certificates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S/MIME software certificates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are allowed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on the mobile device.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Allow storage card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the mobile device can access information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that's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stored on a storage card.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text messaging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text messaging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is allowed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from the mobile device.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unsigned applications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unsigned applications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can be installed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on the mobile device.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unsigned installation packages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an unsigned installation package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can be run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on the mobile device.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Allow Wi-Fi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wireless Internet access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is allowed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on the mobile device.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Alphanumeric password required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requires that a password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contains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numeric and non-numeric characters.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Approved Application List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stores a list of approved applications that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can be run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on the mobile device.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Attachments enabled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enables attachments to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be downloaded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to the mobile device.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Device encryption enabled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enables encryption on the mobile device. Not all mobile devices can enforce encryption. For more information, see the device and mobile operating system documentation.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Device policy refresh interval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how often the mobile device mailbox policy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is sent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from the server to the mobile device.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IRM enabled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Information Rights Management (IRM)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is enabled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on the mobile device.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Max attachment size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controls the maximum size of attachments that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can be downloaded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to the mobile device. The default value is Unlimited.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Max calendar age filter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the maximum range of calendar days that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can be synchronized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to the mobile device. The following values are accepted:</w:t>
            </w:r>
          </w:p>
          <w:p w:rsidR="00434665" w:rsidRPr="00434665" w:rsidRDefault="00434665" w:rsidP="00434665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</w:t>
            </w:r>
          </w:p>
          <w:p w:rsidR="00434665" w:rsidRPr="00434665" w:rsidRDefault="00434665" w:rsidP="00434665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OneDay</w:t>
            </w:r>
            <w:proofErr w:type="spellEnd"/>
          </w:p>
          <w:p w:rsidR="00434665" w:rsidRPr="00434665" w:rsidRDefault="00434665" w:rsidP="00434665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ThreeDays</w:t>
            </w:r>
            <w:proofErr w:type="spellEnd"/>
          </w:p>
          <w:p w:rsidR="00434665" w:rsidRPr="00434665" w:rsidRDefault="00434665" w:rsidP="00434665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OneWeek</w:t>
            </w:r>
            <w:proofErr w:type="spellEnd"/>
          </w:p>
          <w:p w:rsidR="00434665" w:rsidRPr="00434665" w:rsidRDefault="00434665" w:rsidP="00434665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TwoWeeks</w:t>
            </w:r>
            <w:proofErr w:type="spellEnd"/>
          </w:p>
          <w:p w:rsidR="00434665" w:rsidRPr="00434665" w:rsidRDefault="00434665" w:rsidP="00434665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OneMonth</w:t>
            </w:r>
            <w:proofErr w:type="spellEnd"/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Max email age filter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specifies the maximum number of days of email items to synchronize to the mobile device. The following values are accepted:</w:t>
            </w:r>
          </w:p>
          <w:p w:rsidR="00434665" w:rsidRPr="00434665" w:rsidRDefault="00434665" w:rsidP="00434665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</w:t>
            </w:r>
          </w:p>
          <w:p w:rsidR="00434665" w:rsidRPr="00434665" w:rsidRDefault="00434665" w:rsidP="00434665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OneDay</w:t>
            </w:r>
            <w:proofErr w:type="spellEnd"/>
          </w:p>
          <w:p w:rsidR="00434665" w:rsidRPr="00434665" w:rsidRDefault="00434665" w:rsidP="00434665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ThreeDays</w:t>
            </w:r>
            <w:proofErr w:type="spellEnd"/>
          </w:p>
          <w:p w:rsidR="00434665" w:rsidRPr="00434665" w:rsidRDefault="00434665" w:rsidP="00434665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OneWeek</w:t>
            </w:r>
            <w:proofErr w:type="spellEnd"/>
          </w:p>
          <w:p w:rsidR="00434665" w:rsidRPr="00434665" w:rsidRDefault="00434665" w:rsidP="00434665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TwoWeeks</w:t>
            </w:r>
            <w:proofErr w:type="spellEnd"/>
          </w:p>
          <w:p w:rsidR="00434665" w:rsidRPr="00434665" w:rsidRDefault="00434665" w:rsidP="00434665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OneMonth</w:t>
            </w:r>
            <w:proofErr w:type="spellEnd"/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Max email body truncation size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the maximum size at which email messages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are truncated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when synchronized to the mobile device. The value is in kilobytes (KB).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Max email HTML body truncation size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the maximum size at which HTML email messages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are truncated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when synchronized to the mobile device. The value is in kilobytes (KB).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Max inactivity time lock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value specifies the length of time that the mobile device can be inactive before a password is required to reactivate it. You can enter any interval between 30 seconds and 1 hour. The default value is 15 minutes.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Max password failed attempts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specifies the number of attempts a user can make to enter the correct password for the mobile device. You can enter any number from 4 through 16. The default value is 8.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Min password complex characters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specifies the minimum number of complex characters required in the mobile device’s password. A complex character is a character that is not a letter.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Min password length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specifies the minimum number of characters in the mobile device password. You can enter any number from 1 through 16. The default value is 4.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Password enabled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enables the mobile device password.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Password expiration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enables the administrator to configure a length of time after which a mobile device password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must be changed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Password history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the number of past passwords that can be stored in a user's mailbox. A user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can't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reuse a stored password.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Password recovery enabled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When this setting is enabled, the mobile device generates a recovery password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that's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sent to the server. If the user forgets their mobile device password, the recovery password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can be used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to unlock the mobile device and enable the user to create a new mobile device password.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Require device encryption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specifies whether device encryption is required. If set to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$true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the mobile device must be able to support and implement encryption to synchronize with the server.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Require encrypted S/MIME messages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S/MIME messages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must be encrypted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 The default value is </w:t>
            </w:r>
            <w:r w:rsidRPr="00434665">
              <w:rPr>
                <w:rFonts w:ascii="Courier New" w:eastAsia="Times New Roman" w:hAnsi="Courier New" w:cs="Courier New"/>
                <w:color w:val="2A2A2A"/>
                <w:sz w:val="20"/>
                <w:szCs w:val="20"/>
              </w:rPr>
              <w:t>$false</w:t>
            </w: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Require encryption S/MIME algorithm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what required algorithm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must be used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when encrypting S/MIME messages.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Require manual synchronization while roaming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specifies whether the mobile device must synchronize manually while roaming. Allowing automatic synchronization while roaming will frequently lead to larger-than-expected data costs for the mobile device data plan.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Require signed S/MIME algorithm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what required algorithm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must be used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when signing a message.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Require signed S/MIME messages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specifies whether the mobile device must send signed S/MIME messages.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Require storage card encryption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This setting specifies whether the storage card </w:t>
            </w:r>
            <w:proofErr w:type="gram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must be encrypted</w:t>
            </w:r>
            <w:proofErr w:type="gram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. Not all mobile device operating systems support storage card encryption. For more information, see your mobile device and mobile operating system documentation.</w:t>
            </w:r>
          </w:p>
        </w:tc>
      </w:tr>
      <w:tr w:rsidR="00434665" w:rsidRPr="00434665" w:rsidTr="004346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Unapproved </w:t>
            </w:r>
            <w:proofErr w:type="spellStart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InROM</w:t>
            </w:r>
            <w:proofErr w:type="spellEnd"/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application list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34665" w:rsidRPr="00434665" w:rsidRDefault="00434665" w:rsidP="004346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43466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This setting specifies a list of applications that cannot be run in ROM.</w:t>
            </w:r>
          </w:p>
        </w:tc>
      </w:tr>
    </w:tbl>
    <w:p w:rsidR="00877851" w:rsidRPr="00434665" w:rsidRDefault="00877851" w:rsidP="00434665"/>
    <w:sectPr w:rsidR="00877851" w:rsidRPr="0043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58F"/>
    <w:multiLevelType w:val="multilevel"/>
    <w:tmpl w:val="C560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2808"/>
    <w:multiLevelType w:val="multilevel"/>
    <w:tmpl w:val="D464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23142"/>
    <w:multiLevelType w:val="multilevel"/>
    <w:tmpl w:val="D53E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7755D"/>
    <w:multiLevelType w:val="multilevel"/>
    <w:tmpl w:val="6562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836F5"/>
    <w:multiLevelType w:val="multilevel"/>
    <w:tmpl w:val="1A48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D5C4F"/>
    <w:multiLevelType w:val="multilevel"/>
    <w:tmpl w:val="102A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70"/>
    <w:rsid w:val="00434665"/>
    <w:rsid w:val="00877851"/>
    <w:rsid w:val="00927E4C"/>
    <w:rsid w:val="00A33B1A"/>
    <w:rsid w:val="00D0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D100"/>
  <w15:chartTrackingRefBased/>
  <w15:docId w15:val="{6A2DE9C3-ABBE-4138-8357-256E2AB7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4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A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4A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4A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04A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4A70"/>
    <w:rPr>
      <w:i/>
      <w:iCs/>
    </w:rPr>
  </w:style>
  <w:style w:type="character" w:customStyle="1" w:styleId="apple-converted-space">
    <w:name w:val="apple-converted-space"/>
    <w:basedOn w:val="DefaultParagraphFont"/>
    <w:rsid w:val="00D04A70"/>
  </w:style>
  <w:style w:type="character" w:customStyle="1" w:styleId="lwcollapsibleareatitle">
    <w:name w:val="lw_collapsiblearea_title"/>
    <w:basedOn w:val="DefaultParagraphFont"/>
    <w:rsid w:val="00D04A70"/>
  </w:style>
  <w:style w:type="character" w:styleId="HTMLCode">
    <w:name w:val="HTML Code"/>
    <w:basedOn w:val="DefaultParagraphFont"/>
    <w:uiPriority w:val="99"/>
    <w:semiHidden/>
    <w:unhideWhenUsed/>
    <w:rsid w:val="00D04A70"/>
    <w:rPr>
      <w:rFonts w:ascii="Courier New" w:eastAsia="Times New Roman" w:hAnsi="Courier New" w:cs="Courier New"/>
      <w:sz w:val="20"/>
      <w:szCs w:val="20"/>
    </w:rPr>
  </w:style>
  <w:style w:type="character" w:customStyle="1" w:styleId="feedbackcss">
    <w:name w:val="feedbackcss"/>
    <w:basedOn w:val="DefaultParagraphFont"/>
    <w:rsid w:val="00D0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5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40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9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8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2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51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7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9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2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4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Joel Andrew - smit33ja</dc:creator>
  <cp:keywords/>
  <dc:description/>
  <cp:lastModifiedBy>Smith, Joel Andrew - smit33ja</cp:lastModifiedBy>
  <cp:revision>3</cp:revision>
  <dcterms:created xsi:type="dcterms:W3CDTF">2017-01-19T14:38:00Z</dcterms:created>
  <dcterms:modified xsi:type="dcterms:W3CDTF">2017-01-19T14:39:00Z</dcterms:modified>
</cp:coreProperties>
</file>