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70" w:type="dxa"/>
        <w:tblLayout w:type="fixed"/>
        <w:tblCellMar>
          <w:left w:w="0" w:type="dxa"/>
          <w:right w:w="0" w:type="dxa"/>
        </w:tblCellMar>
        <w:tblLook w:val="04A0" w:firstRow="1" w:lastRow="0" w:firstColumn="1" w:lastColumn="0" w:noHBand="0" w:noVBand="1"/>
      </w:tblPr>
      <w:tblGrid>
        <w:gridCol w:w="6783"/>
        <w:gridCol w:w="5687"/>
      </w:tblGrid>
      <w:tr w:rsidR="00275449" w14:paraId="0A73A032" w14:textId="77777777" w:rsidTr="4EB288A5">
        <w:trPr>
          <w:trHeight w:hRule="exact" w:val="80"/>
        </w:trPr>
        <w:tc>
          <w:tcPr>
            <w:tcW w:w="6783" w:type="dxa"/>
            <w:shd w:val="clear" w:color="auto" w:fill="CBB677"/>
            <w:tcMar>
              <w:top w:w="0" w:type="dxa"/>
              <w:left w:w="0" w:type="dxa"/>
              <w:bottom w:w="0" w:type="dxa"/>
              <w:right w:w="0" w:type="dxa"/>
            </w:tcMar>
          </w:tcPr>
          <w:p w14:paraId="48EC1F16" w14:textId="77777777" w:rsidR="00275449" w:rsidRDefault="00275449" w:rsidP="00C01994"/>
        </w:tc>
        <w:tc>
          <w:tcPr>
            <w:tcW w:w="5687" w:type="dxa"/>
            <w:shd w:val="clear" w:color="auto" w:fill="CBB677"/>
            <w:tcMar>
              <w:top w:w="0" w:type="dxa"/>
              <w:left w:w="0" w:type="dxa"/>
              <w:bottom w:w="0" w:type="dxa"/>
              <w:right w:w="0" w:type="dxa"/>
            </w:tcMar>
          </w:tcPr>
          <w:p w14:paraId="25716670" w14:textId="77777777" w:rsidR="00275449" w:rsidRDefault="00275449" w:rsidP="00C01994"/>
        </w:tc>
      </w:tr>
      <w:tr w:rsidR="00275449" w14:paraId="43521B78" w14:textId="77777777" w:rsidTr="4EB288A5">
        <w:trPr>
          <w:trHeight w:hRule="exact" w:val="14518"/>
        </w:trPr>
        <w:tc>
          <w:tcPr>
            <w:tcW w:w="12470" w:type="dxa"/>
            <w:gridSpan w:val="2"/>
            <w:shd w:val="clear" w:color="auto" w:fill="FFFFFF" w:themeFill="background1"/>
            <w:tcMar>
              <w:top w:w="0" w:type="dxa"/>
              <w:left w:w="0" w:type="dxa"/>
              <w:bottom w:w="0" w:type="dxa"/>
              <w:right w:w="0" w:type="dxa"/>
            </w:tcMar>
          </w:tcPr>
          <w:p w14:paraId="7B0AF2CC" w14:textId="015C9732" w:rsidR="00AA3E69" w:rsidRDefault="008A6D3B" w:rsidP="009458D9">
            <w:pPr>
              <w:spacing w:after="120"/>
              <w:ind w:left="840" w:right="840" w:hanging="840"/>
              <w:rPr>
                <w:rFonts w:ascii="Arial" w:hAnsi="Arial"/>
                <w:b/>
                <w:color w:val="4B3F8E"/>
                <w:spacing w:val="80"/>
                <w:sz w:val="18"/>
                <w:szCs w:val="18"/>
              </w:rPr>
            </w:pPr>
            <w:r>
              <w:rPr>
                <w:noProof/>
              </w:rPr>
              <w:drawing>
                <wp:anchor distT="0" distB="0" distL="114300" distR="114300" simplePos="0" relativeHeight="251658240" behindDoc="0" locked="0" layoutInCell="1" allowOverlap="1" wp14:anchorId="314C61F0" wp14:editId="77A009F2">
                  <wp:simplePos x="0" y="0"/>
                  <wp:positionH relativeFrom="column">
                    <wp:posOffset>175260</wp:posOffset>
                  </wp:positionH>
                  <wp:positionV relativeFrom="paragraph">
                    <wp:posOffset>63500</wp:posOffset>
                  </wp:positionV>
                  <wp:extent cx="1645920" cy="993483"/>
                  <wp:effectExtent l="0" t="0" r="0" b="0"/>
                  <wp:wrapNone/>
                  <wp:docPr id="849472468" name="Picture 7" descr="James Madi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72468" name="Picture 7" descr="James Madison University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46961" t="61108" r="20994" b="11228"/>
                          <a:stretch/>
                        </pic:blipFill>
                        <pic:spPr bwMode="auto">
                          <a:xfrm>
                            <a:off x="0" y="0"/>
                            <a:ext cx="1645920" cy="993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b/>
                <w:noProof/>
                <w:color w:val="4B3F8E"/>
                <w:spacing w:val="80"/>
                <w:sz w:val="18"/>
                <w:szCs w:val="18"/>
              </w:rPr>
              <w:drawing>
                <wp:inline distT="0" distB="0" distL="0" distR="0" wp14:anchorId="7393726A" wp14:editId="1DABF62B">
                  <wp:extent cx="7772400" cy="1188720"/>
                  <wp:effectExtent l="0" t="0" r="0" b="5080"/>
                  <wp:docPr id="187893180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31800"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765" b="27353"/>
                          <a:stretch/>
                        </pic:blipFill>
                        <pic:spPr bwMode="auto">
                          <a:xfrm>
                            <a:off x="0" y="0"/>
                            <a:ext cx="7772400" cy="1188720"/>
                          </a:xfrm>
                          <a:prstGeom prst="rect">
                            <a:avLst/>
                          </a:prstGeom>
                          <a:noFill/>
                          <a:ln>
                            <a:noFill/>
                          </a:ln>
                          <a:extLst>
                            <a:ext uri="{53640926-AAD7-44D8-BBD7-CCE9431645EC}">
                              <a14:shadowObscured xmlns:a14="http://schemas.microsoft.com/office/drawing/2010/main"/>
                            </a:ext>
                          </a:extLst>
                        </pic:spPr>
                      </pic:pic>
                    </a:graphicData>
                  </a:graphic>
                </wp:inline>
              </w:drawing>
            </w:r>
          </w:p>
          <w:p w14:paraId="05C5AA7F" w14:textId="23081F70" w:rsidR="00AA3E69" w:rsidRDefault="00AA3E69" w:rsidP="009458D9">
            <w:pPr>
              <w:spacing w:after="120"/>
              <w:ind w:left="840" w:right="840" w:hanging="840"/>
              <w:rPr>
                <w:rFonts w:ascii="Arial" w:hAnsi="Arial"/>
                <w:b/>
                <w:color w:val="4B3F8E"/>
                <w:spacing w:val="80"/>
                <w:sz w:val="18"/>
                <w:szCs w:val="18"/>
              </w:rPr>
            </w:pPr>
          </w:p>
          <w:p w14:paraId="779D87A7" w14:textId="77777777" w:rsidR="00AA3E69" w:rsidRDefault="00AA3E69" w:rsidP="009458D9">
            <w:pPr>
              <w:spacing w:after="120"/>
              <w:ind w:left="840" w:right="840" w:hanging="840"/>
              <w:rPr>
                <w:rFonts w:ascii="Arial" w:hAnsi="Arial"/>
                <w:b/>
                <w:color w:val="4B3F8E"/>
                <w:spacing w:val="80"/>
                <w:sz w:val="18"/>
                <w:szCs w:val="18"/>
              </w:rPr>
            </w:pPr>
          </w:p>
          <w:p w14:paraId="0CD4EE6B" w14:textId="7A57765D" w:rsidR="00AA3E69" w:rsidRDefault="00AA3E69" w:rsidP="009458D9">
            <w:pPr>
              <w:spacing w:after="120"/>
              <w:ind w:left="840" w:right="840" w:hanging="840"/>
              <w:rPr>
                <w:rFonts w:ascii="Arial" w:hAnsi="Arial"/>
                <w:b/>
                <w:color w:val="4B3F8E"/>
                <w:spacing w:val="80"/>
                <w:sz w:val="18"/>
                <w:szCs w:val="18"/>
              </w:rPr>
            </w:pPr>
          </w:p>
          <w:p w14:paraId="1190CF6C" w14:textId="77777777" w:rsidR="00AA3E69" w:rsidRDefault="00AA3E69" w:rsidP="009458D9">
            <w:pPr>
              <w:spacing w:after="120"/>
              <w:ind w:left="840" w:right="840" w:hanging="840"/>
              <w:rPr>
                <w:rFonts w:ascii="Arial" w:hAnsi="Arial"/>
                <w:b/>
                <w:color w:val="4B3F8E"/>
                <w:spacing w:val="80"/>
                <w:sz w:val="18"/>
                <w:szCs w:val="18"/>
              </w:rPr>
            </w:pPr>
          </w:p>
          <w:p w14:paraId="61CC0364" w14:textId="77777777" w:rsidR="00AA3E69" w:rsidRDefault="00AA3E69" w:rsidP="009458D9">
            <w:pPr>
              <w:spacing w:after="120"/>
              <w:ind w:left="840" w:right="840" w:hanging="840"/>
              <w:rPr>
                <w:rFonts w:ascii="Arial" w:hAnsi="Arial"/>
                <w:b/>
                <w:color w:val="4B3F8E"/>
                <w:spacing w:val="80"/>
                <w:sz w:val="18"/>
                <w:szCs w:val="18"/>
              </w:rPr>
            </w:pPr>
          </w:p>
          <w:p w14:paraId="0D3667A3" w14:textId="77777777" w:rsidR="00AA3E69" w:rsidRDefault="00AA3E69" w:rsidP="009458D9">
            <w:pPr>
              <w:spacing w:after="120"/>
              <w:ind w:left="840" w:right="840" w:hanging="840"/>
              <w:rPr>
                <w:rFonts w:ascii="Arial" w:hAnsi="Arial"/>
                <w:b/>
                <w:color w:val="4B3F8E"/>
                <w:spacing w:val="80"/>
                <w:sz w:val="18"/>
                <w:szCs w:val="18"/>
              </w:rPr>
            </w:pPr>
          </w:p>
          <w:p w14:paraId="5D5F5462" w14:textId="77777777" w:rsidR="00AA3E69" w:rsidRDefault="00AA3E69" w:rsidP="009458D9">
            <w:pPr>
              <w:spacing w:after="120"/>
              <w:ind w:left="840" w:right="840" w:hanging="840"/>
              <w:rPr>
                <w:rFonts w:ascii="Arial" w:hAnsi="Arial"/>
                <w:b/>
                <w:color w:val="4B3F8E"/>
                <w:spacing w:val="80"/>
                <w:sz w:val="18"/>
                <w:szCs w:val="18"/>
              </w:rPr>
            </w:pPr>
          </w:p>
          <w:p w14:paraId="6C25821C" w14:textId="77777777" w:rsidR="00AA3E69" w:rsidRDefault="00AA3E69" w:rsidP="009458D9">
            <w:pPr>
              <w:spacing w:after="120"/>
              <w:ind w:left="840" w:right="840" w:hanging="840"/>
              <w:rPr>
                <w:rFonts w:ascii="Arial" w:hAnsi="Arial"/>
                <w:b/>
                <w:color w:val="4B3F8E"/>
                <w:spacing w:val="80"/>
                <w:sz w:val="18"/>
                <w:szCs w:val="18"/>
              </w:rPr>
            </w:pPr>
          </w:p>
          <w:p w14:paraId="10D558E9" w14:textId="528423AA" w:rsidR="00275449" w:rsidRDefault="00CE2A50" w:rsidP="009458D9">
            <w:pPr>
              <w:spacing w:after="120"/>
              <w:ind w:left="840" w:right="840" w:hanging="840"/>
            </w:pPr>
            <w:r w:rsidRPr="4EB288A5">
              <w:rPr>
                <w:rFonts w:ascii="Arial" w:hAnsi="Arial"/>
                <w:b/>
                <w:bCs/>
                <w:color w:val="4B3F8E"/>
                <w:spacing w:val="80"/>
                <w:sz w:val="18"/>
                <w:szCs w:val="18"/>
              </w:rPr>
              <w:t xml:space="preserve">       </w:t>
            </w:r>
            <w:r w:rsidR="00275449" w:rsidRPr="4EB288A5">
              <w:rPr>
                <w:rFonts w:ascii="Arial" w:hAnsi="Arial"/>
                <w:b/>
                <w:bCs/>
                <w:color w:val="4B3F8E"/>
                <w:spacing w:val="80"/>
                <w:sz w:val="18"/>
                <w:szCs w:val="18"/>
              </w:rPr>
              <w:t>SCHEV COMPETENCY REPORT</w:t>
            </w:r>
          </w:p>
          <w:p w14:paraId="63C0A5B4" w14:textId="77777777" w:rsidR="00275449" w:rsidRDefault="00275449" w:rsidP="00C01994">
            <w:pPr>
              <w:pBdr>
                <w:bottom w:val="single" w:sz="12" w:space="4" w:color="CBB677"/>
              </w:pBdr>
              <w:spacing w:after="320"/>
              <w:ind w:left="840" w:right="840"/>
            </w:pPr>
          </w:p>
          <w:p w14:paraId="70A1DA08" w14:textId="77777777" w:rsidR="00275449" w:rsidRDefault="00275449" w:rsidP="00C01994">
            <w:pPr>
              <w:spacing w:after="80"/>
              <w:ind w:left="840" w:right="840"/>
            </w:pPr>
            <w:r>
              <w:rPr>
                <w:rFonts w:ascii="Arial" w:hAnsi="Arial"/>
                <w:color w:val="2C2C2A"/>
                <w:sz w:val="64"/>
                <w:szCs w:val="64"/>
              </w:rPr>
              <w:t>Student Learning Assessment:</w:t>
            </w:r>
          </w:p>
          <w:p w14:paraId="0C36577A" w14:textId="77777777" w:rsidR="00275449" w:rsidRDefault="00275449" w:rsidP="00C01994">
            <w:pPr>
              <w:spacing w:after="400"/>
              <w:ind w:left="840" w:right="840"/>
            </w:pPr>
            <w:r>
              <w:rPr>
                <w:rFonts w:ascii="Arial" w:hAnsi="Arial"/>
                <w:b/>
                <w:color w:val="4B3F8E"/>
                <w:sz w:val="64"/>
                <w:szCs w:val="64"/>
              </w:rPr>
              <w:t>Critical Thinking</w:t>
            </w:r>
          </w:p>
          <w:p w14:paraId="1BC68C75" w14:textId="4777FAF5" w:rsidR="00275449" w:rsidRDefault="00275449" w:rsidP="00C01994">
            <w:pPr>
              <w:spacing w:after="800"/>
              <w:ind w:left="840" w:right="840"/>
            </w:pPr>
            <w:r w:rsidRPr="055E79A5">
              <w:rPr>
                <w:rFonts w:ascii="Arial" w:hAnsi="Arial"/>
                <w:color w:val="5F5E5A"/>
                <w:sz w:val="24"/>
                <w:szCs w:val="24"/>
              </w:rPr>
              <w:t> James Madison University</w:t>
            </w:r>
          </w:p>
          <w:tbl>
            <w:tblPr>
              <w:tblW w:w="10226" w:type="dxa"/>
              <w:jc w:val="center"/>
              <w:tblLayout w:type="fixed"/>
              <w:tblLook w:val="04A0" w:firstRow="1" w:lastRow="0" w:firstColumn="1" w:lastColumn="0" w:noHBand="0" w:noVBand="1"/>
            </w:tblPr>
            <w:tblGrid>
              <w:gridCol w:w="5113"/>
              <w:gridCol w:w="5113"/>
            </w:tblGrid>
            <w:tr w:rsidR="00275449" w14:paraId="2E7B4EC7" w14:textId="77777777" w:rsidTr="4EB288A5">
              <w:trPr>
                <w:jc w:val="center"/>
              </w:trPr>
              <w:tc>
                <w:tcPr>
                  <w:tcW w:w="5113" w:type="dxa"/>
                  <w:tcBorders>
                    <w:right w:val="single" w:sz="4" w:space="0" w:color="CCCCCC"/>
                  </w:tcBorders>
                  <w:shd w:val="clear" w:color="auto" w:fill="F2F1EE"/>
                  <w:tcMar>
                    <w:top w:w="200" w:type="dxa"/>
                    <w:left w:w="280" w:type="dxa"/>
                    <w:bottom w:w="200" w:type="dxa"/>
                    <w:right w:w="280" w:type="dxa"/>
                  </w:tcMar>
                </w:tcPr>
                <w:p w14:paraId="2B0733A1" w14:textId="77777777" w:rsidR="00275449" w:rsidRDefault="00275449" w:rsidP="00C01994">
                  <w:pPr>
                    <w:spacing w:after="40"/>
                  </w:pPr>
                  <w:r w:rsidRPr="00AC36F5">
                    <w:rPr>
                      <w:rFonts w:ascii="Arial" w:hAnsi="Arial"/>
                      <w:spacing w:val="40"/>
                      <w:sz w:val="16"/>
                      <w:szCs w:val="16"/>
                    </w:rPr>
                    <w:t>REPORTING PERIOD</w:t>
                  </w:r>
                </w:p>
                <w:p w14:paraId="4E547A22" w14:textId="77777777" w:rsidR="00275449" w:rsidRDefault="00275449" w:rsidP="00C01994">
                  <w:r w:rsidRPr="4EB288A5">
                    <w:rPr>
                      <w:rFonts w:ascii="Arial" w:hAnsi="Arial"/>
                      <w:b/>
                      <w:bCs/>
                      <w:color w:val="2C2C2A"/>
                      <w:sz w:val="26"/>
                      <w:szCs w:val="26"/>
                    </w:rPr>
                    <w:t>2021–2026</w:t>
                  </w:r>
                </w:p>
              </w:tc>
              <w:tc>
                <w:tcPr>
                  <w:tcW w:w="5113" w:type="dxa"/>
                  <w:shd w:val="clear" w:color="auto" w:fill="F2F1EE"/>
                  <w:tcMar>
                    <w:top w:w="200" w:type="dxa"/>
                    <w:left w:w="280" w:type="dxa"/>
                    <w:bottom w:w="200" w:type="dxa"/>
                    <w:right w:w="280" w:type="dxa"/>
                  </w:tcMar>
                </w:tcPr>
                <w:p w14:paraId="19DE519B" w14:textId="77777777" w:rsidR="00275449" w:rsidRDefault="00275449" w:rsidP="00C01994">
                  <w:pPr>
                    <w:spacing w:after="40"/>
                  </w:pPr>
                  <w:r w:rsidRPr="00AC36F5">
                    <w:rPr>
                      <w:rFonts w:ascii="Arial" w:hAnsi="Arial"/>
                      <w:spacing w:val="40"/>
                      <w:sz w:val="16"/>
                      <w:szCs w:val="16"/>
                    </w:rPr>
                    <w:t>COMPETENCY AREA</w:t>
                  </w:r>
                </w:p>
                <w:p w14:paraId="00ED6654" w14:textId="77777777" w:rsidR="00275449" w:rsidRDefault="00275449" w:rsidP="00C01994">
                  <w:r>
                    <w:rPr>
                      <w:rFonts w:ascii="Arial" w:hAnsi="Arial"/>
                      <w:b/>
                      <w:color w:val="2C2C2A"/>
                      <w:sz w:val="26"/>
                      <w:szCs w:val="26"/>
                    </w:rPr>
                    <w:t>Critical Thinking</w:t>
                  </w:r>
                </w:p>
              </w:tc>
            </w:tr>
            <w:tr w:rsidR="00275449" w14:paraId="6F1219BA" w14:textId="77777777" w:rsidTr="4EB288A5">
              <w:trPr>
                <w:jc w:val="center"/>
              </w:trPr>
              <w:tc>
                <w:tcPr>
                  <w:tcW w:w="5113" w:type="dxa"/>
                  <w:tcBorders>
                    <w:top w:val="single" w:sz="4" w:space="0" w:color="CCCCCC"/>
                    <w:right w:val="single" w:sz="4" w:space="0" w:color="CCCCCC"/>
                  </w:tcBorders>
                  <w:shd w:val="clear" w:color="auto" w:fill="F2F1EE"/>
                  <w:tcMar>
                    <w:top w:w="200" w:type="dxa"/>
                    <w:left w:w="280" w:type="dxa"/>
                    <w:bottom w:w="200" w:type="dxa"/>
                    <w:right w:w="280" w:type="dxa"/>
                  </w:tcMar>
                </w:tcPr>
                <w:p w14:paraId="4B89ECDA" w14:textId="77777777" w:rsidR="00275449" w:rsidRDefault="00275449" w:rsidP="00C01994">
                  <w:pPr>
                    <w:spacing w:after="40"/>
                  </w:pPr>
                  <w:r w:rsidRPr="00AC36F5">
                    <w:rPr>
                      <w:rFonts w:ascii="Arial" w:hAnsi="Arial"/>
                      <w:spacing w:val="40"/>
                      <w:sz w:val="16"/>
                      <w:szCs w:val="16"/>
                    </w:rPr>
                    <w:t>REPORT SUBMITTED</w:t>
                  </w:r>
                </w:p>
                <w:p w14:paraId="05505442" w14:textId="77777777" w:rsidR="00275449" w:rsidRDefault="00275449" w:rsidP="00C01994">
                  <w:r>
                    <w:rPr>
                      <w:rFonts w:ascii="Arial" w:hAnsi="Arial"/>
                      <w:b/>
                      <w:color w:val="2C2C2A"/>
                      <w:sz w:val="26"/>
                      <w:szCs w:val="26"/>
                    </w:rPr>
                    <w:t>2026</w:t>
                  </w:r>
                </w:p>
              </w:tc>
              <w:tc>
                <w:tcPr>
                  <w:tcW w:w="5113" w:type="dxa"/>
                  <w:tcBorders>
                    <w:top w:val="single" w:sz="4" w:space="0" w:color="CCCCCC"/>
                  </w:tcBorders>
                  <w:shd w:val="clear" w:color="auto" w:fill="F2F1EE"/>
                  <w:tcMar>
                    <w:top w:w="200" w:type="dxa"/>
                    <w:left w:w="280" w:type="dxa"/>
                    <w:bottom w:w="200" w:type="dxa"/>
                    <w:right w:w="280" w:type="dxa"/>
                  </w:tcMar>
                </w:tcPr>
                <w:p w14:paraId="75BD16CE" w14:textId="77777777" w:rsidR="00275449" w:rsidRDefault="00275449" w:rsidP="00C01994">
                  <w:pPr>
                    <w:spacing w:after="40"/>
                  </w:pPr>
                  <w:r w:rsidRPr="00AC36F5">
                    <w:rPr>
                      <w:rFonts w:ascii="Arial" w:hAnsi="Arial"/>
                      <w:spacing w:val="40"/>
                      <w:sz w:val="16"/>
                      <w:szCs w:val="16"/>
                    </w:rPr>
                    <w:t>STUDENT COHORT</w:t>
                  </w:r>
                </w:p>
                <w:p w14:paraId="7220CAD4" w14:textId="77777777" w:rsidR="00275449" w:rsidRDefault="00275449" w:rsidP="00C01994">
                  <w:r>
                    <w:rPr>
                      <w:rFonts w:ascii="Arial" w:hAnsi="Arial"/>
                      <w:b/>
                      <w:color w:val="2C2C2A"/>
                      <w:sz w:val="26"/>
                      <w:szCs w:val="26"/>
                    </w:rPr>
                    <w:t>~5,000 annually</w:t>
                  </w:r>
                </w:p>
              </w:tc>
            </w:tr>
          </w:tbl>
          <w:p w14:paraId="2471F85F" w14:textId="77777777" w:rsidR="00275449" w:rsidRDefault="00275449" w:rsidP="00C01994">
            <w:pPr>
              <w:widowControl/>
              <w:autoSpaceDE/>
              <w:autoSpaceDN/>
              <w:rPr>
                <w:rFonts w:asciiTheme="minorHAnsi" w:eastAsiaTheme="minorEastAsia" w:hAnsiTheme="minorHAnsi" w:cstheme="minorBidi"/>
              </w:rPr>
            </w:pPr>
          </w:p>
        </w:tc>
      </w:tr>
      <w:tr w:rsidR="00275449" w14:paraId="08FE5B31" w14:textId="77777777" w:rsidTr="4EB288A5">
        <w:trPr>
          <w:trHeight w:hRule="exact" w:val="800"/>
        </w:trPr>
        <w:tc>
          <w:tcPr>
            <w:tcW w:w="6783" w:type="dxa"/>
            <w:tcBorders>
              <w:top w:val="single" w:sz="4" w:space="0" w:color="CCCCCC"/>
            </w:tcBorders>
            <w:shd w:val="clear" w:color="auto" w:fill="F2F1EE"/>
            <w:tcMar>
              <w:top w:w="200" w:type="dxa"/>
              <w:left w:w="500" w:type="dxa"/>
              <w:bottom w:w="200" w:type="dxa"/>
              <w:right w:w="200" w:type="dxa"/>
            </w:tcMar>
            <w:vAlign w:val="center"/>
          </w:tcPr>
          <w:p w14:paraId="3FF4A4F5" w14:textId="77777777" w:rsidR="00275449" w:rsidRDefault="00275449" w:rsidP="00C01994">
            <w:pPr>
              <w:spacing w:after="40"/>
            </w:pPr>
            <w:r>
              <w:rPr>
                <w:rFonts w:ascii="Arial" w:hAnsi="Arial"/>
                <w:b/>
                <w:color w:val="2C2C2A"/>
                <w:sz w:val="20"/>
                <w:szCs w:val="20"/>
              </w:rPr>
              <w:t>Center for Assessment and Research Studies (CARS)</w:t>
            </w:r>
          </w:p>
          <w:p w14:paraId="27692718" w14:textId="77777777" w:rsidR="00275449" w:rsidRDefault="00275449" w:rsidP="00C01994">
            <w:r w:rsidRPr="00AC36F5">
              <w:rPr>
                <w:rFonts w:ascii="Arial" w:hAnsi="Arial"/>
                <w:sz w:val="18"/>
                <w:szCs w:val="18"/>
              </w:rPr>
              <w:t>James Madison University · Harrisonburg, VA</w:t>
            </w:r>
          </w:p>
        </w:tc>
        <w:tc>
          <w:tcPr>
            <w:tcW w:w="5687" w:type="dxa"/>
            <w:shd w:val="clear" w:color="auto" w:fill="4B3F8E"/>
            <w:tcMar>
              <w:top w:w="200" w:type="dxa"/>
              <w:left w:w="200" w:type="dxa"/>
              <w:bottom w:w="200" w:type="dxa"/>
              <w:right w:w="200" w:type="dxa"/>
            </w:tcMar>
            <w:vAlign w:val="center"/>
          </w:tcPr>
          <w:p w14:paraId="080D8044" w14:textId="3D4F2403" w:rsidR="00275449" w:rsidRDefault="00275449" w:rsidP="055E79A5">
            <w:pPr>
              <w:jc w:val="center"/>
              <w:rPr>
                <w:rFonts w:ascii="Arial" w:hAnsi="Arial"/>
                <w:b/>
                <w:bCs/>
                <w:color w:val="CBB677"/>
              </w:rPr>
            </w:pPr>
          </w:p>
        </w:tc>
      </w:tr>
    </w:tbl>
    <w:p w14:paraId="1D16E1F2" w14:textId="6325C2DB" w:rsidR="00502F30" w:rsidRDefault="00502F30" w:rsidP="00FB6C4E">
      <w:pPr>
        <w:ind w:left="-720" w:right="-720"/>
        <w:sectPr w:rsidR="00502F30" w:rsidSect="002B7AAD">
          <w:footerReference w:type="default" r:id="rId13"/>
          <w:pgSz w:w="12240" w:h="15840"/>
          <w:pgMar w:top="0" w:right="0" w:bottom="0" w:left="0" w:header="0" w:footer="0" w:gutter="0"/>
          <w:cols w:space="720"/>
          <w:titlePg/>
          <w:docGrid w:linePitch="299"/>
        </w:sectPr>
      </w:pPr>
    </w:p>
    <w:p w14:paraId="095BAA0D" w14:textId="1B7D2BA8" w:rsidR="004C59A9" w:rsidRDefault="004C59A9" w:rsidP="004C59A9">
      <w:pPr>
        <w:pStyle w:val="Heading1"/>
      </w:pPr>
      <w:r>
        <w:lastRenderedPageBreak/>
        <w:t>What does JMU expect students to learn or to do? What courses, experiences, or activities allow students to develop their knowledge and/or abilities in these areas?</w:t>
      </w:r>
    </w:p>
    <w:p w14:paraId="51701F3E" w14:textId="7AB49287" w:rsidR="00630DF7" w:rsidRDefault="002D67CC" w:rsidP="055E79A5">
      <w:pPr>
        <w:pStyle w:val="BodyText"/>
        <w:spacing w:before="214" w:line="276" w:lineRule="auto"/>
        <w:ind w:left="359" w:right="355"/>
        <w:jc w:val="both"/>
        <w:rPr>
          <w:rFonts w:eastAsiaTheme="minorEastAsia"/>
          <w:spacing w:val="-2"/>
          <w:lang w:eastAsia="zh-CN"/>
        </w:rPr>
      </w:pPr>
      <w:r>
        <w:t xml:space="preserve">Critical Thinking is central to </w:t>
      </w:r>
      <w:r w:rsidR="00932A22" w:rsidDel="00932A22">
        <w:t xml:space="preserve">a </w:t>
      </w:r>
      <w:r>
        <w:t xml:space="preserve">JMU liberal arts and sciences education because it is </w:t>
      </w:r>
      <w:r w:rsidR="00932A22">
        <w:t>essential</w:t>
      </w:r>
      <w:r>
        <w:t xml:space="preserve"> for students</w:t>
      </w:r>
      <w:r w:rsidR="00932A22">
        <w:t>’</w:t>
      </w:r>
      <w:r>
        <w:t xml:space="preserve"> academic </w:t>
      </w:r>
      <w:r w:rsidR="00932A22">
        <w:t xml:space="preserve">success and for </w:t>
      </w:r>
      <w:r>
        <w:t xml:space="preserve">life beyond college. It </w:t>
      </w:r>
      <w:r w:rsidR="00932A22">
        <w:t xml:space="preserve">involves </w:t>
      </w:r>
      <w:r>
        <w:t>subject</w:t>
      </w:r>
      <w:r w:rsidR="00932A22">
        <w:t>ing</w:t>
      </w:r>
      <w:r>
        <w:t xml:space="preserve"> one's own and others' ideas, arguments, assumptions, and evidence to careful</w:t>
      </w:r>
      <w:r w:rsidR="00932A22">
        <w:t>,</w:t>
      </w:r>
      <w:r>
        <w:t xml:space="preserve"> logical scrutiny </w:t>
      </w:r>
      <w:proofErr w:type="gramStart"/>
      <w:r>
        <w:t>in order to</w:t>
      </w:r>
      <w:proofErr w:type="gramEnd"/>
      <w:r>
        <w:t xml:space="preserve"> make informed judgement</w:t>
      </w:r>
      <w:r w:rsidR="00932A22">
        <w:t>s</w:t>
      </w:r>
      <w:r>
        <w:t>, draw sound conclusion</w:t>
      </w:r>
      <w:r w:rsidR="00932A22">
        <w:t>s</w:t>
      </w:r>
      <w:r>
        <w:t xml:space="preserve">, </w:t>
      </w:r>
      <w:r w:rsidR="00932A22">
        <w:t xml:space="preserve">and </w:t>
      </w:r>
      <w:r>
        <w:t>solve problem</w:t>
      </w:r>
      <w:r w:rsidR="00932A22">
        <w:t>s</w:t>
      </w:r>
      <w:r>
        <w:t>. These skills are developed across the JMU curriculum, in</w:t>
      </w:r>
      <w:r w:rsidR="00932A22">
        <w:t>cluding in</w:t>
      </w:r>
      <w:r>
        <w:t xml:space="preserve"> General Education classes </w:t>
      </w:r>
      <w:r w:rsidR="00932A22">
        <w:t xml:space="preserve">as well as </w:t>
      </w:r>
      <w:r>
        <w:t>in major and minor programs of study.</w:t>
      </w:r>
    </w:p>
    <w:p w14:paraId="62AD51BF" w14:textId="6D5E01C4" w:rsidR="00F6520F" w:rsidRPr="00F6520F" w:rsidRDefault="00F6520F" w:rsidP="00F6520F">
      <w:pPr>
        <w:pStyle w:val="Heading2"/>
        <w:rPr>
          <w:lang w:eastAsia="zh-CN"/>
        </w:rPr>
      </w:pPr>
      <w:r>
        <w:rPr>
          <w:rFonts w:hint="eastAsia"/>
          <w:lang w:eastAsia="zh-CN"/>
        </w:rPr>
        <w:t>Course Offerings</w:t>
      </w:r>
    </w:p>
    <w:p w14:paraId="564DB347" w14:textId="3A65A317" w:rsidR="00146B11" w:rsidRPr="00146B11" w:rsidRDefault="002D67CC" w:rsidP="055E79A5">
      <w:pPr>
        <w:pStyle w:val="BodyText"/>
        <w:spacing w:before="214" w:after="240" w:line="276" w:lineRule="auto"/>
        <w:ind w:left="359" w:right="355"/>
        <w:jc w:val="both"/>
        <w:rPr>
          <w:rFonts w:eastAsiaTheme="minorEastAsia"/>
          <w:lang w:eastAsia="zh-CN"/>
        </w:rPr>
      </w:pPr>
      <w:r>
        <w:t>As a foundation,</w:t>
      </w:r>
      <w:r w:rsidR="7976FCFA">
        <w:t xml:space="preserve"> </w:t>
      </w:r>
      <w:r w:rsidR="00932A22">
        <w:t>JMU</w:t>
      </w:r>
      <w:r>
        <w:t xml:space="preserve"> requires every student to complete a Critical Thinking </w:t>
      </w:r>
      <w:r w:rsidR="00256E60">
        <w:t xml:space="preserve">course </w:t>
      </w:r>
      <w:r>
        <w:t xml:space="preserve">in the General Education program during their first year. </w:t>
      </w:r>
      <w:r w:rsidR="00256E60">
        <w:t>C</w:t>
      </w:r>
      <w:r>
        <w:t xml:space="preserve">urrent first-year course offerings </w:t>
      </w:r>
      <w:r w:rsidR="00256E60">
        <w:t xml:space="preserve">span </w:t>
      </w:r>
      <w:r>
        <w:t xml:space="preserve">six academic disciplines: </w:t>
      </w:r>
    </w:p>
    <w:tbl>
      <w:tblPr>
        <w:tblStyle w:val="GridTable2-Accent4"/>
        <w:tblW w:w="10278" w:type="dxa"/>
        <w:jc w:val="center"/>
        <w:tblLook w:val="0420" w:firstRow="1" w:lastRow="0" w:firstColumn="0" w:lastColumn="0" w:noHBand="0" w:noVBand="1"/>
      </w:tblPr>
      <w:tblGrid>
        <w:gridCol w:w="2880"/>
        <w:gridCol w:w="7398"/>
      </w:tblGrid>
      <w:tr w:rsidR="00CE2309" w14:paraId="4F5A2459" w14:textId="77777777" w:rsidTr="0005624E">
        <w:trPr>
          <w:cnfStyle w:val="100000000000" w:firstRow="1" w:lastRow="0" w:firstColumn="0" w:lastColumn="0" w:oddVBand="0" w:evenVBand="0" w:oddHBand="0" w:evenHBand="0" w:firstRowFirstColumn="0" w:firstRowLastColumn="0" w:lastRowFirstColumn="0" w:lastRowLastColumn="0"/>
          <w:jc w:val="center"/>
        </w:trPr>
        <w:tc>
          <w:tcPr>
            <w:tcW w:w="2880" w:type="dxa"/>
          </w:tcPr>
          <w:p w14:paraId="4FD7DB44" w14:textId="51ACA05F" w:rsidR="00F6520F" w:rsidRDefault="000E6C92" w:rsidP="00146B11">
            <w:pPr>
              <w:pStyle w:val="BodyText"/>
              <w:spacing w:line="276" w:lineRule="auto"/>
              <w:ind w:right="355"/>
              <w:jc w:val="both"/>
              <w:rPr>
                <w:rFonts w:eastAsiaTheme="minorEastAsia"/>
                <w:lang w:eastAsia="zh-CN"/>
              </w:rPr>
            </w:pPr>
            <w:r>
              <w:rPr>
                <w:rFonts w:eastAsiaTheme="minorEastAsia" w:hint="eastAsia"/>
                <w:lang w:eastAsia="zh-CN"/>
              </w:rPr>
              <w:t>Discipline</w:t>
            </w:r>
          </w:p>
        </w:tc>
        <w:tc>
          <w:tcPr>
            <w:tcW w:w="7398" w:type="dxa"/>
          </w:tcPr>
          <w:p w14:paraId="27039439" w14:textId="19978E7C" w:rsidR="00F6520F" w:rsidRDefault="000E6C92" w:rsidP="00146B11">
            <w:pPr>
              <w:pStyle w:val="BodyText"/>
              <w:spacing w:line="276" w:lineRule="auto"/>
              <w:ind w:right="355"/>
              <w:jc w:val="both"/>
              <w:rPr>
                <w:rFonts w:eastAsiaTheme="minorEastAsia"/>
                <w:lang w:eastAsia="zh-CN"/>
              </w:rPr>
            </w:pPr>
            <w:r>
              <w:rPr>
                <w:rFonts w:eastAsiaTheme="minorEastAsia" w:hint="eastAsia"/>
                <w:lang w:eastAsia="zh-CN"/>
              </w:rPr>
              <w:t>Course Experience</w:t>
            </w:r>
          </w:p>
        </w:tc>
      </w:tr>
      <w:tr w:rsidR="00CE2309" w14:paraId="154FDAFC" w14:textId="77777777" w:rsidTr="0005624E">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50315BC6" w14:textId="4861039D" w:rsidR="00F6520F" w:rsidRDefault="00302F1A" w:rsidP="00146B11">
            <w:pPr>
              <w:pStyle w:val="BodyText"/>
              <w:spacing w:line="276" w:lineRule="auto"/>
              <w:ind w:right="355"/>
              <w:jc w:val="both"/>
              <w:rPr>
                <w:rFonts w:eastAsiaTheme="minorEastAsia"/>
                <w:lang w:eastAsia="zh-CN"/>
              </w:rPr>
            </w:pPr>
            <w:r>
              <w:rPr>
                <w:rFonts w:eastAsiaTheme="minorEastAsia" w:hint="eastAsia"/>
                <w:lang w:eastAsia="zh-CN"/>
              </w:rPr>
              <w:t>Business</w:t>
            </w:r>
          </w:p>
        </w:tc>
        <w:tc>
          <w:tcPr>
            <w:tcW w:w="7398" w:type="dxa"/>
          </w:tcPr>
          <w:p w14:paraId="109A94EC" w14:textId="23780008" w:rsidR="00F6520F" w:rsidRDefault="00E77052" w:rsidP="00146B11">
            <w:pPr>
              <w:pStyle w:val="BodyText"/>
              <w:spacing w:line="276" w:lineRule="auto"/>
              <w:ind w:right="355"/>
              <w:jc w:val="both"/>
              <w:rPr>
                <w:rFonts w:eastAsiaTheme="minorEastAsia"/>
                <w:lang w:eastAsia="zh-CN"/>
              </w:rPr>
            </w:pPr>
            <w:r>
              <w:rPr>
                <w:rFonts w:eastAsiaTheme="minorEastAsia" w:hint="eastAsia"/>
                <w:lang w:eastAsia="zh-CN"/>
              </w:rPr>
              <w:t xml:space="preserve">BUS160: </w:t>
            </w:r>
            <w:r>
              <w:t>Business Decision Making in a Modern Society</w:t>
            </w:r>
          </w:p>
        </w:tc>
      </w:tr>
      <w:tr w:rsidR="00874094" w14:paraId="60C4B544" w14:textId="77777777" w:rsidTr="0005624E">
        <w:trPr>
          <w:jc w:val="center"/>
        </w:trPr>
        <w:tc>
          <w:tcPr>
            <w:tcW w:w="2880" w:type="dxa"/>
          </w:tcPr>
          <w:p w14:paraId="3390A055" w14:textId="6E50C52F" w:rsidR="00F6520F" w:rsidRDefault="00302F1A" w:rsidP="00146B11">
            <w:pPr>
              <w:pStyle w:val="BodyText"/>
              <w:spacing w:line="276" w:lineRule="auto"/>
              <w:ind w:right="355"/>
              <w:jc w:val="both"/>
              <w:rPr>
                <w:rFonts w:eastAsiaTheme="minorEastAsia"/>
                <w:lang w:eastAsia="zh-CN"/>
              </w:rPr>
            </w:pPr>
            <w:r>
              <w:rPr>
                <w:rFonts w:eastAsiaTheme="minorEastAsia" w:hint="eastAsia"/>
                <w:lang w:eastAsia="zh-CN"/>
              </w:rPr>
              <w:t>Education</w:t>
            </w:r>
          </w:p>
        </w:tc>
        <w:tc>
          <w:tcPr>
            <w:tcW w:w="7398" w:type="dxa"/>
          </w:tcPr>
          <w:p w14:paraId="4E63ABDA" w14:textId="56BF8A4C" w:rsidR="00F6520F" w:rsidRPr="007E14D1" w:rsidRDefault="00E77052" w:rsidP="00146B11">
            <w:pPr>
              <w:pStyle w:val="BodyText"/>
              <w:spacing w:line="276" w:lineRule="auto"/>
              <w:ind w:right="355"/>
              <w:jc w:val="both"/>
              <w:rPr>
                <w:rFonts w:eastAsiaTheme="minorEastAsia"/>
                <w:lang w:eastAsia="zh-CN"/>
              </w:rPr>
            </w:pPr>
            <w:r w:rsidRPr="007E14D1">
              <w:rPr>
                <w:rFonts w:eastAsiaTheme="minorEastAsia" w:hint="eastAsia"/>
                <w:lang w:eastAsia="zh-CN"/>
              </w:rPr>
              <w:t xml:space="preserve">EDUC102: </w:t>
            </w:r>
            <w:r w:rsidR="007E14D1" w:rsidRPr="007E14D1">
              <w:t>Critical Questions in Education</w:t>
            </w:r>
          </w:p>
        </w:tc>
      </w:tr>
      <w:tr w:rsidR="00CE2309" w14:paraId="7026867C" w14:textId="77777777" w:rsidTr="0005624E">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756AE132" w14:textId="2BA9917D" w:rsidR="00F6520F" w:rsidRDefault="00302F1A" w:rsidP="00146B11">
            <w:pPr>
              <w:pStyle w:val="BodyText"/>
              <w:spacing w:line="276" w:lineRule="auto"/>
              <w:ind w:right="355"/>
              <w:jc w:val="both"/>
              <w:rPr>
                <w:rFonts w:eastAsiaTheme="minorEastAsia"/>
                <w:lang w:eastAsia="zh-CN"/>
              </w:rPr>
            </w:pPr>
            <w:r>
              <w:rPr>
                <w:rFonts w:eastAsiaTheme="minorEastAsia" w:hint="eastAsia"/>
                <w:lang w:eastAsia="zh-CN"/>
              </w:rPr>
              <w:t>History</w:t>
            </w:r>
          </w:p>
        </w:tc>
        <w:tc>
          <w:tcPr>
            <w:tcW w:w="7398" w:type="dxa"/>
          </w:tcPr>
          <w:p w14:paraId="204E1FCC" w14:textId="5D27B109" w:rsidR="00F6520F" w:rsidRPr="007E14D1" w:rsidRDefault="00E77052" w:rsidP="00146B11">
            <w:pPr>
              <w:pStyle w:val="BodyText"/>
              <w:spacing w:line="276" w:lineRule="auto"/>
              <w:ind w:right="355"/>
              <w:jc w:val="both"/>
              <w:rPr>
                <w:rFonts w:eastAsiaTheme="minorEastAsia"/>
                <w:lang w:eastAsia="zh-CN"/>
              </w:rPr>
            </w:pPr>
            <w:r w:rsidRPr="007E14D1">
              <w:rPr>
                <w:rFonts w:eastAsiaTheme="minorEastAsia" w:hint="eastAsia"/>
                <w:lang w:eastAsia="zh-CN"/>
              </w:rPr>
              <w:t xml:space="preserve">HIST150: </w:t>
            </w:r>
            <w:r w:rsidR="007E14D1" w:rsidRPr="007E14D1">
              <w:t>Critical Issues in Recent Global History</w:t>
            </w:r>
          </w:p>
        </w:tc>
      </w:tr>
      <w:tr w:rsidR="00874094" w14:paraId="60F21098" w14:textId="77777777" w:rsidTr="0005624E">
        <w:trPr>
          <w:jc w:val="center"/>
        </w:trPr>
        <w:tc>
          <w:tcPr>
            <w:tcW w:w="2880" w:type="dxa"/>
          </w:tcPr>
          <w:p w14:paraId="110237CA" w14:textId="7F73EA37" w:rsidR="00F6520F" w:rsidRDefault="000E6C92" w:rsidP="00146B11">
            <w:pPr>
              <w:pStyle w:val="BodyText"/>
              <w:spacing w:line="276" w:lineRule="auto"/>
              <w:ind w:right="355"/>
              <w:jc w:val="both"/>
              <w:rPr>
                <w:rFonts w:eastAsiaTheme="minorEastAsia"/>
                <w:lang w:eastAsia="zh-CN"/>
              </w:rPr>
            </w:pPr>
            <w:r>
              <w:rPr>
                <w:rFonts w:eastAsiaTheme="minorEastAsia" w:hint="eastAsia"/>
                <w:lang w:eastAsia="zh-CN"/>
              </w:rPr>
              <w:t>Integrated Science and Technology</w:t>
            </w:r>
          </w:p>
        </w:tc>
        <w:tc>
          <w:tcPr>
            <w:tcW w:w="7398" w:type="dxa"/>
          </w:tcPr>
          <w:p w14:paraId="1D22F3DC" w14:textId="22BBA983" w:rsidR="00F6520F" w:rsidRDefault="00A3545E" w:rsidP="00146B11">
            <w:pPr>
              <w:pStyle w:val="BodyText"/>
              <w:spacing w:line="276" w:lineRule="auto"/>
              <w:ind w:right="355"/>
              <w:jc w:val="both"/>
              <w:rPr>
                <w:rFonts w:eastAsiaTheme="minorEastAsia"/>
                <w:lang w:eastAsia="zh-CN"/>
              </w:rPr>
            </w:pPr>
            <w:r>
              <w:rPr>
                <w:rFonts w:eastAsiaTheme="minorEastAsia" w:hint="eastAsia"/>
                <w:lang w:eastAsia="zh-CN"/>
              </w:rPr>
              <w:t xml:space="preserve">ISAT160: </w:t>
            </w:r>
            <w:r>
              <w:t>Problem Solving Approaches in Science and Technology</w:t>
            </w:r>
          </w:p>
        </w:tc>
      </w:tr>
      <w:tr w:rsidR="00CE2309" w14:paraId="037AE950" w14:textId="77777777" w:rsidTr="0005624E">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4173709C" w14:textId="6A7108FE" w:rsidR="00F6520F" w:rsidRDefault="00285CDE" w:rsidP="00146B11">
            <w:pPr>
              <w:pStyle w:val="BodyText"/>
              <w:spacing w:line="276" w:lineRule="auto"/>
              <w:ind w:right="355"/>
              <w:jc w:val="both"/>
              <w:rPr>
                <w:rFonts w:eastAsiaTheme="minorEastAsia"/>
                <w:lang w:eastAsia="zh-CN"/>
              </w:rPr>
            </w:pPr>
            <w:r>
              <w:rPr>
                <w:rFonts w:eastAsiaTheme="minorEastAsia"/>
                <w:lang w:eastAsia="zh-CN"/>
              </w:rPr>
              <w:t>Philosophy</w:t>
            </w:r>
          </w:p>
        </w:tc>
        <w:tc>
          <w:tcPr>
            <w:tcW w:w="7398" w:type="dxa"/>
          </w:tcPr>
          <w:p w14:paraId="62F00BA9" w14:textId="135C86F9" w:rsidR="00F6520F" w:rsidRDefault="00A3545E" w:rsidP="00146B11">
            <w:pPr>
              <w:pStyle w:val="BodyText"/>
              <w:spacing w:line="276" w:lineRule="auto"/>
              <w:ind w:right="355"/>
              <w:jc w:val="both"/>
              <w:rPr>
                <w:rFonts w:eastAsiaTheme="minorEastAsia"/>
                <w:lang w:eastAsia="zh-CN"/>
              </w:rPr>
            </w:pPr>
            <w:r>
              <w:rPr>
                <w:rFonts w:eastAsiaTheme="minorEastAsia" w:hint="eastAsia"/>
                <w:lang w:eastAsia="zh-CN"/>
              </w:rPr>
              <w:t xml:space="preserve">PHIL120: </w:t>
            </w:r>
            <w:r>
              <w:t>Critical</w:t>
            </w:r>
            <w:r>
              <w:rPr>
                <w:spacing w:val="-15"/>
              </w:rPr>
              <w:t xml:space="preserve"> </w:t>
            </w:r>
            <w:r>
              <w:t>Thinking</w:t>
            </w:r>
          </w:p>
          <w:p w14:paraId="04B3DEE7" w14:textId="5BD1F41B" w:rsidR="00A8648F" w:rsidRPr="00A8648F" w:rsidRDefault="00A3545E" w:rsidP="00146B11">
            <w:pPr>
              <w:pStyle w:val="BodyText"/>
              <w:spacing w:line="276" w:lineRule="auto"/>
              <w:ind w:right="355"/>
              <w:jc w:val="both"/>
              <w:rPr>
                <w:rFonts w:eastAsiaTheme="minorEastAsia"/>
                <w:lang w:eastAsia="zh-CN"/>
              </w:rPr>
            </w:pPr>
            <w:r>
              <w:rPr>
                <w:rFonts w:eastAsiaTheme="minorEastAsia" w:hint="eastAsia"/>
                <w:lang w:eastAsia="zh-CN"/>
              </w:rPr>
              <w:t xml:space="preserve">PHIL150: </w:t>
            </w:r>
            <w:r>
              <w:t>Ethical</w:t>
            </w:r>
            <w:r>
              <w:rPr>
                <w:spacing w:val="-15"/>
              </w:rPr>
              <w:t xml:space="preserve"> </w:t>
            </w:r>
            <w:r>
              <w:t>Reasoning</w:t>
            </w:r>
          </w:p>
        </w:tc>
      </w:tr>
      <w:tr w:rsidR="00624BDC" w14:paraId="70D851A8" w14:textId="77777777" w:rsidTr="0005624E">
        <w:trPr>
          <w:jc w:val="center"/>
        </w:trPr>
        <w:tc>
          <w:tcPr>
            <w:tcW w:w="2880" w:type="dxa"/>
          </w:tcPr>
          <w:p w14:paraId="756438A2" w14:textId="2119ACCD" w:rsidR="00624BDC" w:rsidRDefault="00375D5A" w:rsidP="00146B11">
            <w:pPr>
              <w:pStyle w:val="BodyText"/>
              <w:spacing w:line="276" w:lineRule="auto"/>
              <w:ind w:right="355"/>
              <w:jc w:val="both"/>
              <w:rPr>
                <w:rFonts w:eastAsiaTheme="minorEastAsia"/>
                <w:lang w:eastAsia="zh-CN"/>
              </w:rPr>
            </w:pPr>
            <w:r>
              <w:rPr>
                <w:rFonts w:eastAsiaTheme="minorEastAsia" w:hint="eastAsia"/>
                <w:lang w:eastAsia="zh-CN"/>
              </w:rPr>
              <w:t>Media Art and Design</w:t>
            </w:r>
          </w:p>
        </w:tc>
        <w:tc>
          <w:tcPr>
            <w:tcW w:w="7398" w:type="dxa"/>
          </w:tcPr>
          <w:p w14:paraId="20DD9CE2" w14:textId="6BF45B04" w:rsidR="00624BDC" w:rsidRDefault="00C464A5" w:rsidP="00146B11">
            <w:pPr>
              <w:pStyle w:val="BodyText"/>
              <w:spacing w:line="276" w:lineRule="auto"/>
              <w:ind w:right="355"/>
              <w:jc w:val="both"/>
            </w:pPr>
            <w:r>
              <w:rPr>
                <w:rFonts w:eastAsiaTheme="minorEastAsia" w:hint="eastAsia"/>
                <w:lang w:eastAsia="zh-CN"/>
              </w:rPr>
              <w:t xml:space="preserve">SMAD150: </w:t>
            </w:r>
            <w:r>
              <w:t>Mediated</w:t>
            </w:r>
            <w:r>
              <w:rPr>
                <w:spacing w:val="-15"/>
              </w:rPr>
              <w:t xml:space="preserve"> </w:t>
            </w:r>
            <w:r>
              <w:t>Communication:</w:t>
            </w:r>
            <w:r>
              <w:rPr>
                <w:spacing w:val="-15"/>
              </w:rPr>
              <w:t xml:space="preserve"> </w:t>
            </w:r>
            <w:r>
              <w:t>Issues</w:t>
            </w:r>
            <w:r>
              <w:rPr>
                <w:spacing w:val="-5"/>
              </w:rPr>
              <w:t xml:space="preserve"> </w:t>
            </w:r>
            <w:r>
              <w:t>and Skills</w:t>
            </w:r>
          </w:p>
        </w:tc>
      </w:tr>
    </w:tbl>
    <w:p w14:paraId="441E3E7F" w14:textId="4B6933FB" w:rsidR="00570760" w:rsidRDefault="002D67CC" w:rsidP="00080F73">
      <w:pPr>
        <w:pStyle w:val="BodyText"/>
        <w:spacing w:before="214" w:line="276" w:lineRule="auto"/>
        <w:ind w:left="359" w:right="355"/>
        <w:jc w:val="both"/>
        <w:rPr>
          <w:rFonts w:eastAsiaTheme="minorEastAsia"/>
          <w:lang w:eastAsia="zh-CN"/>
        </w:rPr>
      </w:pPr>
      <w:r>
        <w:t>The breadth of these courses illustrates how essential Critical Thinking is to the many</w:t>
      </w:r>
      <w:r>
        <w:rPr>
          <w:spacing w:val="40"/>
        </w:rPr>
        <w:t xml:space="preserve"> </w:t>
      </w:r>
      <w:r>
        <w:t xml:space="preserve">disciplinary areas of expertise and knowledge. </w:t>
      </w:r>
    </w:p>
    <w:p w14:paraId="78856D93" w14:textId="77777777" w:rsidR="00080F73" w:rsidRPr="00080F73" w:rsidRDefault="00080F73" w:rsidP="00080F73">
      <w:pPr>
        <w:rPr>
          <w:rFonts w:eastAsiaTheme="minorEastAsia"/>
          <w:lang w:eastAsia="zh-CN"/>
        </w:rPr>
      </w:pPr>
    </w:p>
    <w:p w14:paraId="43416D07" w14:textId="326E3E3B" w:rsidR="00570760" w:rsidRPr="00EB2C9F" w:rsidRDefault="00235943" w:rsidP="00D47B6C">
      <w:pPr>
        <w:pStyle w:val="Heading2"/>
        <w:rPr>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Pr>
          <w:rFonts w:hint="eastAsia"/>
        </w:rPr>
        <w:t>Student Learning Outcomes</w:t>
      </w:r>
    </w:p>
    <w:p w14:paraId="10EA209B" w14:textId="57506BB9" w:rsidR="00C673D1" w:rsidRPr="00C673D1" w:rsidRDefault="002D67CC">
      <w:pPr>
        <w:pStyle w:val="BodyText"/>
        <w:spacing w:before="198" w:line="276" w:lineRule="auto"/>
        <w:ind w:left="359" w:right="355"/>
        <w:jc w:val="both"/>
        <w:rPr>
          <w:rFonts w:eastAsiaTheme="minorEastAsia"/>
          <w:lang w:eastAsia="zh-CN"/>
        </w:rPr>
      </w:pPr>
      <w:r>
        <w:t xml:space="preserve">Unique to JMU, </w:t>
      </w:r>
      <w:proofErr w:type="gramStart"/>
      <w:r>
        <w:t>all of</w:t>
      </w:r>
      <w:proofErr w:type="gramEnd"/>
      <w:r>
        <w:t xml:space="preserve"> these courses were developed by JMU faculty to meet a set of common learning outcomes:</w:t>
      </w:r>
    </w:p>
    <w:p w14:paraId="2D1AD2DB" w14:textId="77777777" w:rsidR="00607B8D" w:rsidRPr="00B03651" w:rsidRDefault="00607B8D" w:rsidP="00680323">
      <w:pPr>
        <w:pStyle w:val="Quote"/>
      </w:pPr>
      <w:r>
        <w:t>After</w:t>
      </w:r>
      <w:r>
        <w:rPr>
          <w:spacing w:val="-10"/>
        </w:rPr>
        <w:t xml:space="preserve"> </w:t>
      </w:r>
      <w:r>
        <w:t>completing</w:t>
      </w:r>
      <w:r>
        <w:rPr>
          <w:spacing w:val="-8"/>
        </w:rPr>
        <w:t xml:space="preserve"> </w:t>
      </w:r>
      <w:r>
        <w:t>one</w:t>
      </w:r>
      <w:r>
        <w:rPr>
          <w:spacing w:val="-6"/>
        </w:rPr>
        <w:t xml:space="preserve"> </w:t>
      </w:r>
      <w:r>
        <w:t>of</w:t>
      </w:r>
      <w:r>
        <w:rPr>
          <w:spacing w:val="-8"/>
        </w:rPr>
        <w:t xml:space="preserve"> </w:t>
      </w:r>
      <w:r>
        <w:t>the</w:t>
      </w:r>
      <w:r>
        <w:rPr>
          <w:spacing w:val="-6"/>
        </w:rPr>
        <w:t xml:space="preserve"> </w:t>
      </w:r>
      <w:r>
        <w:t>JMU</w:t>
      </w:r>
      <w:r>
        <w:rPr>
          <w:spacing w:val="-8"/>
        </w:rPr>
        <w:t xml:space="preserve"> </w:t>
      </w:r>
      <w:r>
        <w:t>first-year</w:t>
      </w:r>
      <w:r>
        <w:rPr>
          <w:spacing w:val="-6"/>
        </w:rPr>
        <w:t xml:space="preserve"> </w:t>
      </w:r>
      <w:r>
        <w:t>courses</w:t>
      </w:r>
      <w:r>
        <w:rPr>
          <w:spacing w:val="-6"/>
        </w:rPr>
        <w:t xml:space="preserve"> </w:t>
      </w:r>
      <w:r>
        <w:t>in</w:t>
      </w:r>
      <w:r>
        <w:rPr>
          <w:spacing w:val="-8"/>
        </w:rPr>
        <w:t xml:space="preserve"> </w:t>
      </w:r>
      <w:r>
        <w:t>Critical</w:t>
      </w:r>
      <w:r>
        <w:rPr>
          <w:spacing w:val="-7"/>
        </w:rPr>
        <w:t xml:space="preserve"> </w:t>
      </w:r>
      <w:r>
        <w:t>Thinking,</w:t>
      </w:r>
      <w:r>
        <w:rPr>
          <w:spacing w:val="-6"/>
        </w:rPr>
        <w:t xml:space="preserve"> </w:t>
      </w:r>
      <w:r>
        <w:t>students will be able to:</w:t>
      </w:r>
    </w:p>
    <w:p w14:paraId="7917E1FD" w14:textId="1F7BF3D8" w:rsidR="00607B8D" w:rsidRPr="00B03651" w:rsidRDefault="00607B8D" w:rsidP="00C1760C">
      <w:pPr>
        <w:pStyle w:val="Quote"/>
        <w:numPr>
          <w:ilvl w:val="0"/>
          <w:numId w:val="4"/>
        </w:numPr>
        <w:ind w:left="990" w:hanging="180"/>
      </w:pPr>
      <w:r>
        <w:t>Identify</w:t>
      </w:r>
      <w:r>
        <w:rPr>
          <w:spacing w:val="-13"/>
        </w:rPr>
        <w:t xml:space="preserve"> </w:t>
      </w:r>
      <w:r>
        <w:t>the</w:t>
      </w:r>
      <w:r>
        <w:rPr>
          <w:spacing w:val="-10"/>
        </w:rPr>
        <w:t xml:space="preserve"> </w:t>
      </w:r>
      <w:r>
        <w:t>basic</w:t>
      </w:r>
      <w:r>
        <w:rPr>
          <w:spacing w:val="-9"/>
        </w:rPr>
        <w:t xml:space="preserve"> </w:t>
      </w:r>
      <w:r>
        <w:t>components</w:t>
      </w:r>
      <w:r>
        <w:rPr>
          <w:spacing w:val="-10"/>
        </w:rPr>
        <w:t xml:space="preserve"> </w:t>
      </w:r>
      <w:r>
        <w:t>of</w:t>
      </w:r>
      <w:r>
        <w:rPr>
          <w:spacing w:val="-9"/>
        </w:rPr>
        <w:t xml:space="preserve"> </w:t>
      </w:r>
      <w:r>
        <w:t>arguments,</w:t>
      </w:r>
      <w:r>
        <w:rPr>
          <w:spacing w:val="-9"/>
        </w:rPr>
        <w:t xml:space="preserve"> </w:t>
      </w:r>
      <w:r>
        <w:t>including</w:t>
      </w:r>
      <w:r>
        <w:rPr>
          <w:spacing w:val="-12"/>
        </w:rPr>
        <w:t xml:space="preserve"> </w:t>
      </w:r>
      <w:r>
        <w:t>premises,</w:t>
      </w:r>
      <w:r>
        <w:rPr>
          <w:spacing w:val="-9"/>
        </w:rPr>
        <w:t xml:space="preserve"> </w:t>
      </w:r>
      <w:r>
        <w:t>supporting evidence, assumptions, conclusions, and implications.</w:t>
      </w:r>
    </w:p>
    <w:p w14:paraId="24459D39" w14:textId="33E5E10B" w:rsidR="00607B8D" w:rsidRPr="00B03651" w:rsidRDefault="00607B8D" w:rsidP="00C1760C">
      <w:pPr>
        <w:pStyle w:val="Quote"/>
        <w:numPr>
          <w:ilvl w:val="0"/>
          <w:numId w:val="4"/>
        </w:numPr>
        <w:ind w:left="990" w:hanging="180"/>
      </w:pPr>
      <w:r>
        <w:t>Evaluate</w:t>
      </w:r>
      <w:r>
        <w:rPr>
          <w:spacing w:val="-14"/>
        </w:rPr>
        <w:t xml:space="preserve"> </w:t>
      </w:r>
      <w:r>
        <w:t>claims</w:t>
      </w:r>
      <w:r>
        <w:rPr>
          <w:spacing w:val="-11"/>
        </w:rPr>
        <w:t xml:space="preserve"> </w:t>
      </w:r>
      <w:r>
        <w:t>and</w:t>
      </w:r>
      <w:r>
        <w:rPr>
          <w:spacing w:val="-9"/>
        </w:rPr>
        <w:t xml:space="preserve"> </w:t>
      </w:r>
      <w:r>
        <w:t>sources</w:t>
      </w:r>
      <w:r>
        <w:rPr>
          <w:spacing w:val="-10"/>
        </w:rPr>
        <w:t xml:space="preserve"> </w:t>
      </w:r>
      <w:r>
        <w:t>for</w:t>
      </w:r>
      <w:r>
        <w:rPr>
          <w:spacing w:val="-10"/>
        </w:rPr>
        <w:t xml:space="preserve"> </w:t>
      </w:r>
      <w:r>
        <w:t>clarity,</w:t>
      </w:r>
      <w:r>
        <w:rPr>
          <w:spacing w:val="-10"/>
        </w:rPr>
        <w:t xml:space="preserve"> </w:t>
      </w:r>
      <w:r>
        <w:t>credibility,</w:t>
      </w:r>
      <w:r>
        <w:rPr>
          <w:spacing w:val="-10"/>
        </w:rPr>
        <w:t xml:space="preserve"> </w:t>
      </w:r>
      <w:r>
        <w:t>reliability,</w:t>
      </w:r>
      <w:r>
        <w:rPr>
          <w:spacing w:val="-11"/>
        </w:rPr>
        <w:t xml:space="preserve"> </w:t>
      </w:r>
      <w:r>
        <w:t>accuracy, and relevance.</w:t>
      </w:r>
    </w:p>
    <w:p w14:paraId="7D9B4371" w14:textId="0EC42728" w:rsidR="0028342D" w:rsidRPr="00B03651" w:rsidRDefault="00607B8D" w:rsidP="00C1760C">
      <w:pPr>
        <w:pStyle w:val="Quote"/>
        <w:numPr>
          <w:ilvl w:val="0"/>
          <w:numId w:val="4"/>
        </w:numPr>
        <w:ind w:left="990" w:hanging="180"/>
        <w:rPr>
          <w:rFonts w:eastAsiaTheme="minorEastAsia"/>
          <w:spacing w:val="-2"/>
          <w:lang w:eastAsia="zh-CN"/>
        </w:rPr>
      </w:pPr>
      <w:r>
        <w:t>Evaluate</w:t>
      </w:r>
      <w:r>
        <w:rPr>
          <w:spacing w:val="-11"/>
        </w:rPr>
        <w:t xml:space="preserve"> </w:t>
      </w:r>
      <w:r>
        <w:t>arguments</w:t>
      </w:r>
      <w:r>
        <w:rPr>
          <w:spacing w:val="-3"/>
        </w:rPr>
        <w:t xml:space="preserve"> </w:t>
      </w:r>
      <w:r>
        <w:t>for</w:t>
      </w:r>
      <w:r>
        <w:rPr>
          <w:spacing w:val="-2"/>
        </w:rPr>
        <w:t xml:space="preserve"> </w:t>
      </w:r>
      <w:r>
        <w:t>soundness,</w:t>
      </w:r>
      <w:r>
        <w:rPr>
          <w:spacing w:val="-5"/>
        </w:rPr>
        <w:t xml:space="preserve"> </w:t>
      </w:r>
      <w:r>
        <w:t>strength,</w:t>
      </w:r>
      <w:r>
        <w:rPr>
          <w:spacing w:val="-4"/>
        </w:rPr>
        <w:t xml:space="preserve"> </w:t>
      </w:r>
      <w:r>
        <w:t xml:space="preserve">and </w:t>
      </w:r>
      <w:r>
        <w:rPr>
          <w:spacing w:val="-2"/>
        </w:rPr>
        <w:t>completeness.</w:t>
      </w:r>
    </w:p>
    <w:p w14:paraId="654898CD" w14:textId="032736AD" w:rsidR="00607B8D" w:rsidRPr="00B03651" w:rsidRDefault="00607B8D" w:rsidP="00C1760C">
      <w:pPr>
        <w:pStyle w:val="Quote"/>
        <w:numPr>
          <w:ilvl w:val="0"/>
          <w:numId w:val="4"/>
        </w:numPr>
        <w:ind w:left="990" w:hanging="180"/>
        <w:rPr>
          <w:rFonts w:eastAsiaTheme="minorEastAsia"/>
          <w:lang w:eastAsia="zh-CN"/>
        </w:rPr>
      </w:pPr>
      <w:r>
        <w:t>Demonstrate</w:t>
      </w:r>
      <w:r>
        <w:rPr>
          <w:spacing w:val="-9"/>
        </w:rPr>
        <w:t xml:space="preserve"> </w:t>
      </w:r>
      <w:r>
        <w:t>an</w:t>
      </w:r>
      <w:r>
        <w:rPr>
          <w:spacing w:val="-13"/>
        </w:rPr>
        <w:t xml:space="preserve"> </w:t>
      </w:r>
      <w:r>
        <w:t>intellectual</w:t>
      </w:r>
      <w:r>
        <w:rPr>
          <w:spacing w:val="-9"/>
        </w:rPr>
        <w:t xml:space="preserve"> </w:t>
      </w:r>
      <w:r>
        <w:t>disposition</w:t>
      </w:r>
      <w:r>
        <w:rPr>
          <w:spacing w:val="-8"/>
        </w:rPr>
        <w:t xml:space="preserve"> </w:t>
      </w:r>
      <w:r>
        <w:t>to</w:t>
      </w:r>
      <w:r>
        <w:rPr>
          <w:spacing w:val="-13"/>
        </w:rPr>
        <w:t xml:space="preserve"> </w:t>
      </w:r>
      <w:r>
        <w:t>be</w:t>
      </w:r>
      <w:r>
        <w:rPr>
          <w:spacing w:val="-10"/>
        </w:rPr>
        <w:t xml:space="preserve"> </w:t>
      </w:r>
      <w:r>
        <w:t>fair-minded</w:t>
      </w:r>
      <w:r>
        <w:rPr>
          <w:spacing w:val="-9"/>
        </w:rPr>
        <w:t xml:space="preserve"> </w:t>
      </w:r>
      <w:r>
        <w:t>in</w:t>
      </w:r>
      <w:r>
        <w:rPr>
          <w:spacing w:val="-13"/>
        </w:rPr>
        <w:t xml:space="preserve"> </w:t>
      </w:r>
      <w:r>
        <w:t>considering evidence, arguments, and alternative points of view.</w:t>
      </w:r>
    </w:p>
    <w:p w14:paraId="45422770" w14:textId="77777777" w:rsidR="004A415B" w:rsidRPr="007C6C40" w:rsidRDefault="004A415B" w:rsidP="004A415B">
      <w:pPr>
        <w:pStyle w:val="Heading1"/>
      </w:pPr>
      <w:r>
        <w:lastRenderedPageBreak/>
        <w:t>How</w:t>
      </w:r>
      <w:r>
        <w:rPr>
          <w:spacing w:val="-14"/>
        </w:rPr>
        <w:t xml:space="preserve"> </w:t>
      </w:r>
      <w:r>
        <w:t>do</w:t>
      </w:r>
      <w:r>
        <w:rPr>
          <w:spacing w:val="-14"/>
        </w:rPr>
        <w:t xml:space="preserve"> </w:t>
      </w:r>
      <w:r>
        <w:t>faculty</w:t>
      </w:r>
      <w:r>
        <w:rPr>
          <w:spacing w:val="-13"/>
        </w:rPr>
        <w:t xml:space="preserve"> </w:t>
      </w:r>
      <w:r>
        <w:t>and</w:t>
      </w:r>
      <w:r>
        <w:rPr>
          <w:spacing w:val="-14"/>
        </w:rPr>
        <w:t xml:space="preserve"> </w:t>
      </w:r>
      <w:r>
        <w:t>staff</w:t>
      </w:r>
      <w:r>
        <w:rPr>
          <w:spacing w:val="-13"/>
        </w:rPr>
        <w:t xml:space="preserve"> </w:t>
      </w:r>
      <w:r>
        <w:t>know</w:t>
      </w:r>
      <w:r>
        <w:rPr>
          <w:spacing w:val="-12"/>
        </w:rPr>
        <w:t xml:space="preserve"> </w:t>
      </w:r>
      <w:r>
        <w:t>whether—and</w:t>
      </w:r>
      <w:r>
        <w:rPr>
          <w:spacing w:val="-13"/>
        </w:rPr>
        <w:t xml:space="preserve"> </w:t>
      </w:r>
      <w:r>
        <w:t>how</w:t>
      </w:r>
      <w:r>
        <w:rPr>
          <w:spacing w:val="-14"/>
        </w:rPr>
        <w:t xml:space="preserve"> </w:t>
      </w:r>
      <w:r>
        <w:t>well—students</w:t>
      </w:r>
      <w:r>
        <w:rPr>
          <w:spacing w:val="-13"/>
        </w:rPr>
        <w:t xml:space="preserve"> </w:t>
      </w:r>
      <w:r>
        <w:t>have</w:t>
      </w:r>
      <w:r>
        <w:rPr>
          <w:spacing w:val="-14"/>
        </w:rPr>
        <w:t xml:space="preserve"> </w:t>
      </w:r>
      <w:r>
        <w:t>learned?</w:t>
      </w:r>
    </w:p>
    <w:p w14:paraId="325E3C33" w14:textId="7F4F9BB3" w:rsidR="008B66BB" w:rsidRDefault="008B66BB" w:rsidP="008B66BB">
      <w:pPr>
        <w:pStyle w:val="Heading2"/>
        <w:rPr>
          <w:lang w:eastAsia="zh-CN"/>
        </w:rPr>
      </w:pPr>
      <w:r w:rsidRPr="055E79A5">
        <w:rPr>
          <w:lang w:eastAsia="zh-CN"/>
        </w:rPr>
        <w:t xml:space="preserve">Data Collection </w:t>
      </w:r>
    </w:p>
    <w:p w14:paraId="1934F3BB" w14:textId="0376E6D1" w:rsidR="00DE419C" w:rsidRDefault="00DE419C" w:rsidP="009C1F2A">
      <w:pPr>
        <w:pStyle w:val="BodyText"/>
        <w:spacing w:before="137" w:line="276" w:lineRule="auto"/>
        <w:ind w:left="359" w:right="355"/>
        <w:jc w:val="both"/>
      </w:pPr>
      <w:r>
        <w:t>During the 2021–2026 assessment cycle, JMU evaluate</w:t>
      </w:r>
      <w:r w:rsidR="00A57860">
        <w:t>d</w:t>
      </w:r>
      <w:r>
        <w:t xml:space="preserve"> </w:t>
      </w:r>
      <w:r w:rsidR="00A57860">
        <w:t>critical thinking dispositions</w:t>
      </w:r>
      <w:r>
        <w:t xml:space="preserve"> at scale </w:t>
      </w:r>
      <w:r w:rsidR="303A95EB">
        <w:t>for graduating seniors (approximately 5,000 annually) who were required to complete a battery of assessments prior to graduation.</w:t>
      </w:r>
    </w:p>
    <w:p w14:paraId="5D872BA0" w14:textId="37698B7E" w:rsidR="00280625" w:rsidRDefault="005D7CDA" w:rsidP="005D7CDA">
      <w:pPr>
        <w:pStyle w:val="Heading2"/>
        <w:rPr>
          <w:lang w:eastAsia="zh-CN"/>
        </w:rPr>
      </w:pPr>
      <w:r>
        <w:rPr>
          <w:rFonts w:hint="eastAsia"/>
          <w:lang w:eastAsia="zh-CN"/>
        </w:rPr>
        <w:t>Assessment Instrument</w:t>
      </w:r>
    </w:p>
    <w:p w14:paraId="196EF1B2" w14:textId="12BB72EC" w:rsidR="00ED63E6" w:rsidRPr="00ED63E6" w:rsidRDefault="00ED63E6" w:rsidP="00ED63E6">
      <w:pPr>
        <w:pStyle w:val="BodyText"/>
        <w:spacing w:before="137" w:line="276" w:lineRule="auto"/>
        <w:ind w:left="359" w:right="355"/>
        <w:jc w:val="both"/>
        <w:rPr>
          <w:rFonts w:eastAsiaTheme="minorEastAsia"/>
          <w:lang w:eastAsia="zh-CN"/>
        </w:rPr>
      </w:pPr>
      <w:r>
        <w:rPr>
          <w:rFonts w:eastAsiaTheme="minorEastAsia"/>
          <w:lang w:eastAsia="zh-CN"/>
        </w:rPr>
        <w:t>The critical thinking assessment utilized several validated instruments to measure students’ dispositions and beliefs related to critical thinking and learning. Specifically, the assessment incorporated the Critical Thinking Disposition Scale (</w:t>
      </w:r>
      <w:proofErr w:type="spellStart"/>
      <w:r>
        <w:rPr>
          <w:rFonts w:eastAsiaTheme="minorEastAsia"/>
          <w:lang w:eastAsia="zh-CN"/>
        </w:rPr>
        <w:t>Sosu</w:t>
      </w:r>
      <w:proofErr w:type="spellEnd"/>
      <w:r>
        <w:rPr>
          <w:rFonts w:eastAsiaTheme="minorEastAsia"/>
          <w:lang w:eastAsia="zh-CN"/>
        </w:rPr>
        <w:t xml:space="preserve">, 2013), selected subscales from the Comprehensive Intellectual Humility Scale (Krumrei-Mancuso &amp; Rouse, 2015), and the Self-Theory of Intelligence Scale (De Castella &amp; Byrne, 2015). </w:t>
      </w:r>
      <w:r>
        <w:rPr>
          <w:rFonts w:eastAsiaTheme="minorEastAsia" w:hint="eastAsia"/>
          <w:lang w:eastAsia="zh-CN"/>
        </w:rPr>
        <w:t xml:space="preserve">These </w:t>
      </w:r>
      <w:r>
        <w:rPr>
          <w:rFonts w:eastAsiaTheme="minorEastAsia"/>
          <w:lang w:eastAsia="zh-CN"/>
        </w:rPr>
        <w:t>instruments assess key dimensions such as critical openness, reflective skepticism, intellectual humility, and students’ beliefs about the malleability of intelligence. All items were rated on a seven-point Likert scale ranging from Strongly Disagree (1) to Strongly Agree (7).</w:t>
      </w:r>
    </w:p>
    <w:p w14:paraId="6F68E43E" w14:textId="77777777" w:rsidR="008D6C69" w:rsidRPr="007C673A" w:rsidRDefault="008D6C69" w:rsidP="00A43711">
      <w:pPr>
        <w:pStyle w:val="Heading3"/>
      </w:pPr>
      <w:r>
        <w:t>Critical</w:t>
      </w:r>
      <w:r>
        <w:rPr>
          <w:spacing w:val="-1"/>
        </w:rPr>
        <w:t xml:space="preserve"> </w:t>
      </w:r>
      <w:r>
        <w:t>Thinking</w:t>
      </w:r>
      <w:r>
        <w:rPr>
          <w:spacing w:val="-1"/>
        </w:rPr>
        <w:t xml:space="preserve"> </w:t>
      </w:r>
      <w:r>
        <w:t>Disposition</w:t>
      </w:r>
      <w:r>
        <w:rPr>
          <w:spacing w:val="1"/>
        </w:rPr>
        <w:t xml:space="preserve"> </w:t>
      </w:r>
      <w:r>
        <w:t xml:space="preserve">Scale </w:t>
      </w:r>
    </w:p>
    <w:p w14:paraId="2609069A" w14:textId="78613844" w:rsidR="008D6C69" w:rsidRPr="00F478DD" w:rsidRDefault="008D6C69" w:rsidP="00A43711">
      <w:pPr>
        <w:pStyle w:val="BodyText"/>
        <w:spacing w:before="137" w:line="276" w:lineRule="auto"/>
        <w:ind w:left="359" w:right="355"/>
        <w:jc w:val="both"/>
      </w:pPr>
      <w:r>
        <w:t xml:space="preserve">The Critical Thinking Disposition Scale (CTDS; </w:t>
      </w:r>
      <w:proofErr w:type="spellStart"/>
      <w:r>
        <w:t>Sosu</w:t>
      </w:r>
      <w:proofErr w:type="spellEnd"/>
      <w:r>
        <w:t xml:space="preserve">, 2013) is an 11-item measurement instrument developed to assess two core dispositional dimensions of critical thinking: Critical Openness (CO) and Reflective Skepticism (RS). The CO subscale comprises seven items and evaluates the extent to which individuals are receptive to new ideas, thoughtfully assess them, and are willing to revise their views when presented with compelling evidence. The RS subscale contains four items and measures the inclination to reflect on past experiences and critically examine the quality and trustworthiness of available evidence. </w:t>
      </w:r>
    </w:p>
    <w:p w14:paraId="434F00F6" w14:textId="77777777" w:rsidR="008D6C69" w:rsidRPr="007C673A" w:rsidRDefault="008D6C69" w:rsidP="00A43711">
      <w:pPr>
        <w:pStyle w:val="Heading3"/>
      </w:pPr>
      <w:bookmarkStart w:id="0" w:name="_Hlk194598117"/>
      <w:r>
        <w:t>Comprehensive Intellectual Humility Scale</w:t>
      </w:r>
      <w:bookmarkEnd w:id="0"/>
    </w:p>
    <w:p w14:paraId="48E4ADFD" w14:textId="4CE1EBC0" w:rsidR="008D6C69" w:rsidRPr="003E2BC4" w:rsidRDefault="008979AE" w:rsidP="00756062">
      <w:pPr>
        <w:pStyle w:val="BodyText"/>
        <w:spacing w:before="137" w:line="276" w:lineRule="auto"/>
        <w:ind w:left="359" w:right="355"/>
        <w:jc w:val="both"/>
      </w:pPr>
      <w:r w:rsidRPr="055E79A5">
        <w:rPr>
          <w:rFonts w:eastAsiaTheme="minorEastAsia"/>
          <w:lang w:eastAsia="zh-CN"/>
        </w:rPr>
        <w:t>T</w:t>
      </w:r>
      <w:r>
        <w:t>he</w:t>
      </w:r>
      <w:r w:rsidRPr="055E79A5">
        <w:rPr>
          <w:rFonts w:eastAsiaTheme="minorEastAsia"/>
          <w:lang w:eastAsia="zh-CN"/>
        </w:rPr>
        <w:t xml:space="preserve"> assessment</w:t>
      </w:r>
      <w:r>
        <w:t xml:space="preserve"> committee selected and adopted two of the subscales </w:t>
      </w:r>
      <w:r w:rsidRPr="055E79A5">
        <w:rPr>
          <w:rFonts w:eastAsiaTheme="minorEastAsia"/>
          <w:lang w:eastAsia="zh-CN"/>
        </w:rPr>
        <w:t>from t</w:t>
      </w:r>
      <w:r>
        <w:t>he Comprehensive Intellectual Humility Scale (CIHS</w:t>
      </w:r>
      <w:r w:rsidRPr="055E79A5">
        <w:rPr>
          <w:rFonts w:eastAsiaTheme="minorEastAsia"/>
          <w:lang w:eastAsia="zh-CN"/>
        </w:rPr>
        <w:t>; Krumrei-Mancuso &amp; Rouse, 2015</w:t>
      </w:r>
      <w:r>
        <w:t xml:space="preserve">): Openness to Revising One’s Viewpoint (RV) and Intellectual Overconfidence (IO). The RV subscale includes five items that assess a person’s willingness to reconsider and revise their beliefs </w:t>
      </w:r>
      <w:proofErr w:type="gramStart"/>
      <w:r>
        <w:t>in light of</w:t>
      </w:r>
      <w:proofErr w:type="gramEnd"/>
      <w:r>
        <w:t xml:space="preserve"> new evidence or persuasive reasoning. The IO subscale consists of six items that measure the tendency to overestimate the accuracy of one’s beliefs and to resist acknowledging personal fallibility</w:t>
      </w:r>
      <w:r w:rsidR="00A57860">
        <w:t xml:space="preserve">. </w:t>
      </w:r>
    </w:p>
    <w:p w14:paraId="07F3ADD6" w14:textId="77777777" w:rsidR="008D6C69" w:rsidRPr="00DC172C" w:rsidRDefault="008D6C69" w:rsidP="00A43711">
      <w:pPr>
        <w:pStyle w:val="Heading3"/>
      </w:pPr>
      <w:r>
        <w:t>Self-Theory of Intelligence Scale</w:t>
      </w:r>
    </w:p>
    <w:p w14:paraId="2A60A5F0" w14:textId="5DF168D4" w:rsidR="00207C96" w:rsidRDefault="008D6C69" w:rsidP="00756062">
      <w:pPr>
        <w:pStyle w:val="BodyText"/>
        <w:spacing w:before="137" w:line="276" w:lineRule="auto"/>
        <w:ind w:left="359" w:right="355"/>
        <w:jc w:val="both"/>
      </w:pPr>
      <w:r>
        <w:t xml:space="preserve">The revised Self-Theory of Intelligence Scale (STIS), developed by De Castella and Byrne (2015), is an 8-item instrument designed to assess students’ beliefs about the malleability of their own intelligence. The scale includes two subscales: Entity Self-Theory (ES) and Incremental Self-Theory (IS). The ES subscale consists of four items that reflect the belief that one’s own intelligence is fixed and largely unchangeable, regardless of effort. In contrast, the IS subscale includes four items that capture the belief that intellectual ability can be developed over time through persistence, learning, and effort. </w:t>
      </w:r>
      <w:bookmarkStart w:id="1" w:name="_bookmark28"/>
      <w:bookmarkEnd w:id="1"/>
    </w:p>
    <w:p w14:paraId="114F8474" w14:textId="77777777" w:rsidR="00207C96" w:rsidRDefault="00207C96">
      <w:pPr>
        <w:rPr>
          <w:sz w:val="24"/>
          <w:szCs w:val="24"/>
        </w:rPr>
      </w:pPr>
      <w:r>
        <w:br w:type="page"/>
      </w:r>
    </w:p>
    <w:p w14:paraId="421C979E" w14:textId="77777777" w:rsidR="008D6C69" w:rsidRPr="008D354B" w:rsidRDefault="008D6C69" w:rsidP="00756062">
      <w:pPr>
        <w:pStyle w:val="BodyText"/>
        <w:spacing w:before="137" w:line="276" w:lineRule="auto"/>
        <w:ind w:left="359" w:right="355"/>
        <w:jc w:val="both"/>
      </w:pPr>
    </w:p>
    <w:p w14:paraId="10C5E872" w14:textId="13730E45" w:rsidR="00207C96" w:rsidRPr="00207C96" w:rsidRDefault="004C59A9" w:rsidP="00207C96">
      <w:pPr>
        <w:pStyle w:val="Heading1"/>
        <w:rPr>
          <w:spacing w:val="-4"/>
        </w:rPr>
      </w:pPr>
      <w:r>
        <w:t>Are</w:t>
      </w:r>
      <w:r>
        <w:rPr>
          <w:spacing w:val="-14"/>
        </w:rPr>
        <w:t xml:space="preserve"> </w:t>
      </w:r>
      <w:r>
        <w:t>the</w:t>
      </w:r>
      <w:r>
        <w:rPr>
          <w:spacing w:val="-13"/>
        </w:rPr>
        <w:t xml:space="preserve"> </w:t>
      </w:r>
      <w:r>
        <w:t>institution’s</w:t>
      </w:r>
      <w:r>
        <w:rPr>
          <w:spacing w:val="-11"/>
        </w:rPr>
        <w:t xml:space="preserve"> </w:t>
      </w:r>
      <w:r>
        <w:t>expectations</w:t>
      </w:r>
      <w:r>
        <w:rPr>
          <w:spacing w:val="-14"/>
        </w:rPr>
        <w:t xml:space="preserve"> </w:t>
      </w:r>
      <w:r>
        <w:t>in</w:t>
      </w:r>
      <w:r>
        <w:rPr>
          <w:spacing w:val="-13"/>
        </w:rPr>
        <w:t xml:space="preserve"> </w:t>
      </w:r>
      <w:r>
        <w:t>these</w:t>
      </w:r>
      <w:r>
        <w:rPr>
          <w:spacing w:val="-12"/>
        </w:rPr>
        <w:t xml:space="preserve"> </w:t>
      </w:r>
      <w:r>
        <w:t>areas</w:t>
      </w:r>
      <w:r>
        <w:rPr>
          <w:spacing w:val="-14"/>
        </w:rPr>
        <w:t xml:space="preserve"> </w:t>
      </w:r>
      <w:r>
        <w:t>being</w:t>
      </w:r>
      <w:r>
        <w:rPr>
          <w:spacing w:val="-13"/>
        </w:rPr>
        <w:t xml:space="preserve"> </w:t>
      </w:r>
      <w:r>
        <w:rPr>
          <w:spacing w:val="-4"/>
        </w:rPr>
        <w:t>met?</w:t>
      </w:r>
    </w:p>
    <w:p w14:paraId="07283DA6" w14:textId="737799DB" w:rsidR="745C609B" w:rsidRDefault="00207C96" w:rsidP="4EB288A5">
      <w:pPr>
        <w:spacing w:after="160"/>
        <w:rPr>
          <w:sz w:val="24"/>
          <w:szCs w:val="24"/>
        </w:rPr>
      </w:pPr>
      <w:r>
        <w:rPr>
          <w:noProof/>
        </w:rPr>
        <w:drawing>
          <wp:anchor distT="0" distB="0" distL="114300" distR="114300" simplePos="0" relativeHeight="251659264" behindDoc="1" locked="0" layoutInCell="1" allowOverlap="1" wp14:anchorId="23B79A32" wp14:editId="3253B9A1">
            <wp:simplePos x="0" y="0"/>
            <wp:positionH relativeFrom="column">
              <wp:posOffset>-2540</wp:posOffset>
            </wp:positionH>
            <wp:positionV relativeFrom="paragraph">
              <wp:posOffset>1270</wp:posOffset>
            </wp:positionV>
            <wp:extent cx="4589145" cy="3059430"/>
            <wp:effectExtent l="12700" t="12700" r="8255" b="13970"/>
            <wp:wrapTight wrapText="bothSides">
              <wp:wrapPolygon edited="0">
                <wp:start x="-60" y="-90"/>
                <wp:lineTo x="-60" y="21609"/>
                <wp:lineTo x="21579" y="21609"/>
                <wp:lineTo x="21579" y="-90"/>
                <wp:lineTo x="-60" y="-90"/>
              </wp:wrapPolygon>
            </wp:wrapTight>
            <wp:docPr id="1106127888" name="drawing" descr="A vertical bar chart comparing mean scores across six CTDS subscales for the 2024–2025 academic year. The y-axis shows Mean Score and the x-axis lists the subscales: CO, RS, RY, IO, ES, and IS. The first three bars (CO, RS, RY) are purple and have the highest scores, roughly 5.4 to 5.8. IO and ES are gold/tan bars with lower scores, around 3.8 and 3.0 respectively. The final bar, IS, is gray and scores high again at abou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27888" name="drawing" descr="A vertical bar chart comparing mean scores across six CTDS subscales for the 2024–2025 academic year. The y-axis shows Mean Score and the x-axis lists the subscales: CO, RS, RY, IO, ES, and IS. The first three bars (CO, RS, RY) are purple and have the highest scores, roughly 5.4 to 5.8. IO and ES are gold/tan bars with lower scores, around 3.8 and 3.0 respectively. The final bar, IS, is gray and scores high again at about 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9145" cy="30594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745C609B" w:rsidRPr="00AE5E4B">
        <w:rPr>
          <w:sz w:val="24"/>
          <w:szCs w:val="24"/>
        </w:rPr>
        <w:t xml:space="preserve">Overall, the </w:t>
      </w:r>
      <w:r w:rsidR="00C1760C">
        <w:rPr>
          <w:sz w:val="24"/>
          <w:szCs w:val="24"/>
        </w:rPr>
        <w:t>findings suggest that students are demonstrating dispositions aligned with JMU’s expectations for critical thinking</w:t>
      </w:r>
      <w:r w:rsidR="745C609B" w:rsidRPr="00AE5E4B">
        <w:rPr>
          <w:sz w:val="24"/>
          <w:szCs w:val="24"/>
        </w:rPr>
        <w:t>. Students consistently demonstrate strong habits of open</w:t>
      </w:r>
      <w:r w:rsidR="745C609B">
        <w:noBreakHyphen/>
      </w:r>
      <w:r w:rsidR="745C609B" w:rsidRPr="00AE5E4B">
        <w:rPr>
          <w:sz w:val="24"/>
          <w:szCs w:val="24"/>
        </w:rPr>
        <w:t>mindedness, thoughtful evaluation of information, and a belief in learning and improvement. More specifically, the following summarizes each area’s findings, including the mean score</w:t>
      </w:r>
      <w:r w:rsidR="00742708">
        <w:rPr>
          <w:sz w:val="24"/>
          <w:szCs w:val="24"/>
        </w:rPr>
        <w:t xml:space="preserve"> for students’ senior year assessment</w:t>
      </w:r>
      <w:r w:rsidR="745C609B" w:rsidRPr="00AE5E4B">
        <w:rPr>
          <w:sz w:val="24"/>
          <w:szCs w:val="24"/>
        </w:rPr>
        <w:t xml:space="preserve"> (AY 2024</w:t>
      </w:r>
      <w:r w:rsidR="00742708">
        <w:rPr>
          <w:sz w:val="24"/>
          <w:szCs w:val="24"/>
        </w:rPr>
        <w:t>-</w:t>
      </w:r>
      <w:r w:rsidR="745C609B" w:rsidRPr="00AE5E4B">
        <w:rPr>
          <w:sz w:val="24"/>
          <w:szCs w:val="24"/>
        </w:rPr>
        <w:t xml:space="preserve">2025). </w:t>
      </w:r>
    </w:p>
    <w:p w14:paraId="4B4C1AA7" w14:textId="77777777" w:rsidR="00207C96" w:rsidRDefault="00207C96" w:rsidP="4EB288A5">
      <w:pPr>
        <w:spacing w:after="160"/>
        <w:rPr>
          <w:sz w:val="24"/>
          <w:szCs w:val="24"/>
        </w:rPr>
      </w:pPr>
    </w:p>
    <w:p w14:paraId="4CF8012C" w14:textId="77777777" w:rsidR="00207C96" w:rsidRDefault="00207C96" w:rsidP="4EB288A5">
      <w:pPr>
        <w:spacing w:after="160"/>
        <w:rPr>
          <w:sz w:val="24"/>
          <w:szCs w:val="24"/>
        </w:rPr>
      </w:pPr>
    </w:p>
    <w:p w14:paraId="4EE242F5" w14:textId="77777777" w:rsidR="00207C96" w:rsidRDefault="00207C96" w:rsidP="4EB288A5">
      <w:pPr>
        <w:spacing w:after="160"/>
        <w:rPr>
          <w:sz w:val="24"/>
          <w:szCs w:val="24"/>
        </w:rPr>
      </w:pPr>
    </w:p>
    <w:p w14:paraId="65FEB9CC" w14:textId="77777777" w:rsidR="00742708" w:rsidRPr="00207C96" w:rsidRDefault="00742708" w:rsidP="4EB288A5">
      <w:pPr>
        <w:spacing w:after="160"/>
        <w:rPr>
          <w:sz w:val="24"/>
          <w:szCs w:val="24"/>
        </w:rPr>
      </w:pPr>
    </w:p>
    <w:p w14:paraId="195A25DB" w14:textId="1BD50208" w:rsidR="745C609B" w:rsidRPr="00AE5E4B" w:rsidRDefault="745C609B" w:rsidP="00AE5E4B">
      <w:pPr>
        <w:pStyle w:val="ListParagraph"/>
        <w:numPr>
          <w:ilvl w:val="0"/>
          <w:numId w:val="1"/>
        </w:numPr>
        <w:rPr>
          <w:sz w:val="24"/>
          <w:szCs w:val="24"/>
        </w:rPr>
      </w:pPr>
      <w:r w:rsidRPr="00AE5E4B">
        <w:rPr>
          <w:b/>
          <w:bCs/>
          <w:sz w:val="24"/>
          <w:szCs w:val="24"/>
        </w:rPr>
        <w:t xml:space="preserve">Critical Openness (CO) </w:t>
      </w:r>
      <w:r w:rsidRPr="00AE5E4B">
        <w:rPr>
          <w:sz w:val="24"/>
          <w:szCs w:val="24"/>
        </w:rPr>
        <w:t>remains relatively strong (5.67). Students continue to value critical thinking and new perspectives, with only a small decline over time that does not undermine this strength.</w:t>
      </w:r>
    </w:p>
    <w:p w14:paraId="44AE28E0" w14:textId="493E38B1" w:rsidR="745C609B" w:rsidRPr="00AE5E4B" w:rsidRDefault="745C609B" w:rsidP="00AE5E4B">
      <w:pPr>
        <w:pStyle w:val="ListParagraph"/>
        <w:numPr>
          <w:ilvl w:val="0"/>
          <w:numId w:val="1"/>
        </w:numPr>
        <w:rPr>
          <w:sz w:val="24"/>
          <w:szCs w:val="24"/>
        </w:rPr>
      </w:pPr>
      <w:r w:rsidRPr="00AE5E4B">
        <w:rPr>
          <w:b/>
          <w:bCs/>
          <w:sz w:val="24"/>
          <w:szCs w:val="24"/>
        </w:rPr>
        <w:t>Reflective Skepticism (RS)</w:t>
      </w:r>
      <w:r w:rsidRPr="00AE5E4B">
        <w:rPr>
          <w:sz w:val="24"/>
          <w:szCs w:val="24"/>
        </w:rPr>
        <w:t xml:space="preserve"> is consistently high (5.77). Students regularly report that they question claims and think reflectively, showing stability across several years.</w:t>
      </w:r>
    </w:p>
    <w:p w14:paraId="3D08C59E" w14:textId="690C8A09" w:rsidR="745C609B" w:rsidRPr="00AE5E4B" w:rsidRDefault="745C609B" w:rsidP="00AE5E4B">
      <w:pPr>
        <w:pStyle w:val="ListParagraph"/>
        <w:numPr>
          <w:ilvl w:val="0"/>
          <w:numId w:val="1"/>
        </w:numPr>
        <w:rPr>
          <w:sz w:val="24"/>
          <w:szCs w:val="24"/>
        </w:rPr>
      </w:pPr>
      <w:r w:rsidRPr="00AE5E4B">
        <w:rPr>
          <w:b/>
          <w:bCs/>
          <w:sz w:val="24"/>
          <w:szCs w:val="24"/>
        </w:rPr>
        <w:t xml:space="preserve">Openness to Revising One’s Viewpoint (RV) </w:t>
      </w:r>
      <w:r w:rsidRPr="00AE5E4B">
        <w:rPr>
          <w:sz w:val="24"/>
          <w:szCs w:val="24"/>
        </w:rPr>
        <w:t>continues to be strong (5.47). Students generally agree that they should revisit their views when presented with new information, and this attitude remains steady.</w:t>
      </w:r>
    </w:p>
    <w:p w14:paraId="2AFA330A" w14:textId="18E545AF" w:rsidR="745C609B" w:rsidRPr="00AE5E4B" w:rsidRDefault="745C609B" w:rsidP="00AE5E4B">
      <w:pPr>
        <w:pStyle w:val="ListParagraph"/>
        <w:numPr>
          <w:ilvl w:val="0"/>
          <w:numId w:val="1"/>
        </w:numPr>
        <w:rPr>
          <w:sz w:val="24"/>
          <w:szCs w:val="24"/>
        </w:rPr>
      </w:pPr>
      <w:r w:rsidRPr="00AE5E4B">
        <w:rPr>
          <w:b/>
          <w:bCs/>
          <w:sz w:val="24"/>
          <w:szCs w:val="24"/>
        </w:rPr>
        <w:t xml:space="preserve">Intellectual Overconfidence (IO) </w:t>
      </w:r>
      <w:r w:rsidRPr="00AE5E4B">
        <w:rPr>
          <w:sz w:val="24"/>
          <w:szCs w:val="24"/>
        </w:rPr>
        <w:t>is mostly balanced, albeit not extreme (3.88). Students do not strongly see themselves as intellectually overconfident, suggesting a healthy mix of confidence and humility.</w:t>
      </w:r>
    </w:p>
    <w:p w14:paraId="47C9A845" w14:textId="1FF38EDA" w:rsidR="745C609B" w:rsidRPr="00AE5E4B" w:rsidRDefault="745C609B" w:rsidP="00AE5E4B">
      <w:pPr>
        <w:pStyle w:val="ListParagraph"/>
        <w:numPr>
          <w:ilvl w:val="0"/>
          <w:numId w:val="1"/>
        </w:numPr>
        <w:rPr>
          <w:sz w:val="24"/>
          <w:szCs w:val="24"/>
        </w:rPr>
      </w:pPr>
      <w:r w:rsidRPr="00AE5E4B">
        <w:rPr>
          <w:b/>
          <w:bCs/>
          <w:sz w:val="24"/>
          <w:szCs w:val="24"/>
        </w:rPr>
        <w:t xml:space="preserve">Entity Self-Theory (ES) </w:t>
      </w:r>
      <w:r w:rsidRPr="00AE5E4B">
        <w:rPr>
          <w:sz w:val="24"/>
          <w:szCs w:val="24"/>
        </w:rPr>
        <w:t>is low (2.93). Most students disagree with the idea that intelligence is unchangeable, and this belief does not increase over time.</w:t>
      </w:r>
    </w:p>
    <w:p w14:paraId="4B742249" w14:textId="5B4544E2" w:rsidR="745C609B" w:rsidRDefault="745C609B" w:rsidP="00AE5E4B">
      <w:pPr>
        <w:pStyle w:val="ListParagraph"/>
        <w:numPr>
          <w:ilvl w:val="0"/>
          <w:numId w:val="1"/>
        </w:numPr>
        <w:rPr>
          <w:sz w:val="24"/>
          <w:szCs w:val="24"/>
        </w:rPr>
      </w:pPr>
      <w:r w:rsidRPr="00AE5E4B">
        <w:rPr>
          <w:b/>
          <w:bCs/>
          <w:sz w:val="24"/>
          <w:szCs w:val="24"/>
        </w:rPr>
        <w:t>Incremental Self-Theory (IS)</w:t>
      </w:r>
      <w:r w:rsidRPr="00AE5E4B">
        <w:rPr>
          <w:sz w:val="24"/>
          <w:szCs w:val="24"/>
        </w:rPr>
        <w:t>, akin to growth mindset,</w:t>
      </w:r>
      <w:r w:rsidRPr="00AE5E4B">
        <w:rPr>
          <w:b/>
          <w:bCs/>
          <w:sz w:val="24"/>
          <w:szCs w:val="24"/>
        </w:rPr>
        <w:t xml:space="preserve"> </w:t>
      </w:r>
      <w:r w:rsidRPr="00AE5E4B">
        <w:rPr>
          <w:sz w:val="24"/>
          <w:szCs w:val="24"/>
        </w:rPr>
        <w:t>is strong and enduring (5.47). Students consistently believe that intelligence can be developed through effort and learning, aligning well with the institution’s educational mission and values.</w:t>
      </w:r>
    </w:p>
    <w:p w14:paraId="7A429FF0" w14:textId="0EDBEA31" w:rsidR="4EB288A5" w:rsidRDefault="4EB288A5" w:rsidP="00AE5E4B">
      <w:pPr>
        <w:pStyle w:val="ListParagraph"/>
        <w:ind w:left="720"/>
        <w:rPr>
          <w:sz w:val="24"/>
          <w:szCs w:val="24"/>
        </w:rPr>
      </w:pPr>
    </w:p>
    <w:p w14:paraId="2BC6B4D9" w14:textId="3895BB61" w:rsidR="4EB288A5" w:rsidRDefault="745C609B" w:rsidP="00C8518E">
      <w:pPr>
        <w:rPr>
          <w:rStyle w:val="Strong"/>
          <w:rFonts w:eastAsiaTheme="majorEastAsia"/>
        </w:rPr>
      </w:pPr>
      <w:r w:rsidRPr="00AE5E4B">
        <w:rPr>
          <w:sz w:val="24"/>
          <w:szCs w:val="24"/>
        </w:rPr>
        <w:t xml:space="preserve">Generally, students show continuing strengths in critical thinking, openness, reflection, and learning mindset. While there are </w:t>
      </w:r>
      <w:r w:rsidR="00742708">
        <w:rPr>
          <w:sz w:val="24"/>
          <w:szCs w:val="24"/>
        </w:rPr>
        <w:t>minimal</w:t>
      </w:r>
      <w:r w:rsidRPr="00AE5E4B">
        <w:rPr>
          <w:sz w:val="24"/>
          <w:szCs w:val="24"/>
        </w:rPr>
        <w:t xml:space="preserve"> shifts</w:t>
      </w:r>
      <w:r w:rsidR="00B52F5E">
        <w:rPr>
          <w:sz w:val="24"/>
          <w:szCs w:val="24"/>
        </w:rPr>
        <w:t xml:space="preserve"> over time</w:t>
      </w:r>
      <w:r w:rsidRPr="00AE5E4B">
        <w:rPr>
          <w:sz w:val="24"/>
          <w:szCs w:val="24"/>
        </w:rPr>
        <w:t>, these do not indicate meaningful decline. Taken together, the findings suggest that the institution is successfully cultivating the intellectual habits it values, and those habits are holding steady across cohorts.</w:t>
      </w:r>
    </w:p>
    <w:p w14:paraId="0AE66FF4" w14:textId="3CF180A5" w:rsidR="006342DE" w:rsidRDefault="006342DE" w:rsidP="00EE1486">
      <w:pPr>
        <w:pStyle w:val="BodyText"/>
        <w:spacing w:before="238" w:line="276" w:lineRule="auto"/>
        <w:ind w:left="359" w:right="355"/>
        <w:jc w:val="both"/>
      </w:pPr>
    </w:p>
    <w:p w14:paraId="24CBE415" w14:textId="77777777" w:rsidR="004C59A9" w:rsidRPr="007C6C40" w:rsidRDefault="004C59A9" w:rsidP="004C59A9">
      <w:pPr>
        <w:pStyle w:val="Heading1"/>
      </w:pPr>
      <w:r>
        <w:lastRenderedPageBreak/>
        <w:t>How</w:t>
      </w:r>
      <w:r>
        <w:rPr>
          <w:spacing w:val="-4"/>
        </w:rPr>
        <w:t xml:space="preserve"> </w:t>
      </w:r>
      <w:r>
        <w:t>does/will</w:t>
      </w:r>
      <w:r>
        <w:rPr>
          <w:spacing w:val="-4"/>
        </w:rPr>
        <w:t xml:space="preserve"> </w:t>
      </w:r>
      <w:r>
        <w:t>the</w:t>
      </w:r>
      <w:r>
        <w:rPr>
          <w:spacing w:val="-4"/>
        </w:rPr>
        <w:t xml:space="preserve"> </w:t>
      </w:r>
      <w:r>
        <w:t>institution</w:t>
      </w:r>
      <w:r>
        <w:rPr>
          <w:spacing w:val="-4"/>
        </w:rPr>
        <w:t xml:space="preserve"> </w:t>
      </w:r>
      <w:r>
        <w:t>use</w:t>
      </w:r>
      <w:r>
        <w:rPr>
          <w:spacing w:val="-4"/>
        </w:rPr>
        <w:t xml:space="preserve"> </w:t>
      </w:r>
      <w:r>
        <w:t>this</w:t>
      </w:r>
      <w:r>
        <w:rPr>
          <w:spacing w:val="-4"/>
        </w:rPr>
        <w:t xml:space="preserve"> </w:t>
      </w:r>
      <w:r>
        <w:t>information</w:t>
      </w:r>
      <w:r>
        <w:rPr>
          <w:spacing w:val="-4"/>
        </w:rPr>
        <w:t xml:space="preserve"> </w:t>
      </w:r>
      <w:r>
        <w:t>to</w:t>
      </w:r>
      <w:r>
        <w:rPr>
          <w:spacing w:val="-4"/>
        </w:rPr>
        <w:t xml:space="preserve"> </w:t>
      </w:r>
      <w:r>
        <w:t>improve</w:t>
      </w:r>
      <w:r>
        <w:rPr>
          <w:spacing w:val="-4"/>
        </w:rPr>
        <w:t xml:space="preserve"> </w:t>
      </w:r>
      <w:r>
        <w:t>students’</w:t>
      </w:r>
      <w:r>
        <w:rPr>
          <w:spacing w:val="-4"/>
        </w:rPr>
        <w:t xml:space="preserve"> </w:t>
      </w:r>
      <w:r>
        <w:t>educational experience and enhance future achievement?</w:t>
      </w:r>
    </w:p>
    <w:p w14:paraId="2CAFD2DE" w14:textId="522A87B8" w:rsidR="34809DFA" w:rsidRDefault="34809DFA" w:rsidP="00AE5E4B">
      <w:pPr>
        <w:spacing w:after="240"/>
        <w:rPr>
          <w:color w:val="000000" w:themeColor="text1"/>
          <w:sz w:val="24"/>
          <w:szCs w:val="24"/>
        </w:rPr>
      </w:pPr>
      <w:r w:rsidRPr="4EB288A5">
        <w:rPr>
          <w:color w:val="000000" w:themeColor="text1"/>
          <w:sz w:val="24"/>
          <w:szCs w:val="24"/>
        </w:rPr>
        <w:t>JMU expects students who complete a critical thinking course to demonstrate the ability to analyze arguments, evaluate the quality and credibility of evidence and sources, and engage thoughtfully with multiple perspectives. These learning outcomes are central to the university’s General Education Program and serve as key indicators of students’ readiness to think independently and responsibly. Assessing these skills allows the university to understand how well students are meeting these expectations and how effectively the curriculum supports their development. In an increasingly complex world, these assessed outcomes reflect JMU’s commitment to preparing students for informed decision</w:t>
      </w:r>
      <w:r>
        <w:noBreakHyphen/>
      </w:r>
      <w:r w:rsidRPr="4EB288A5">
        <w:rPr>
          <w:color w:val="000000" w:themeColor="text1"/>
          <w:sz w:val="24"/>
          <w:szCs w:val="24"/>
        </w:rPr>
        <w:t>making, active citizenship, and lifelong learning.</w:t>
      </w:r>
    </w:p>
    <w:p w14:paraId="755135F5" w14:textId="16AD2D77" w:rsidR="00742708" w:rsidRDefault="00742708" w:rsidP="00AE5E4B">
      <w:pPr>
        <w:spacing w:after="240"/>
        <w:rPr>
          <w:color w:val="000000" w:themeColor="text1"/>
          <w:sz w:val="24"/>
          <w:szCs w:val="24"/>
        </w:rPr>
      </w:pPr>
      <w:r w:rsidRPr="00742708">
        <w:rPr>
          <w:color w:val="000000" w:themeColor="text1"/>
          <w:sz w:val="24"/>
          <w:szCs w:val="24"/>
        </w:rPr>
        <w:t xml:space="preserve">Assessment results show that many JMU seniors demonstrate strong critical thinking dispositions. Rather than emphasizing change over time, current reporting focuses on students’ senior-year </w:t>
      </w:r>
      <w:r>
        <w:rPr>
          <w:color w:val="000000" w:themeColor="text1"/>
          <w:sz w:val="24"/>
          <w:szCs w:val="24"/>
        </w:rPr>
        <w:t xml:space="preserve">intellectual </w:t>
      </w:r>
      <w:r w:rsidRPr="00742708">
        <w:rPr>
          <w:color w:val="000000" w:themeColor="text1"/>
          <w:sz w:val="24"/>
          <w:szCs w:val="24"/>
        </w:rPr>
        <w:t xml:space="preserve">habits and the extent to which </w:t>
      </w:r>
      <w:r w:rsidR="0009574C">
        <w:rPr>
          <w:color w:val="000000" w:themeColor="text1"/>
          <w:sz w:val="24"/>
          <w:szCs w:val="24"/>
        </w:rPr>
        <w:t>students</w:t>
      </w:r>
      <w:r w:rsidRPr="00742708">
        <w:rPr>
          <w:color w:val="000000" w:themeColor="text1"/>
          <w:sz w:val="24"/>
          <w:szCs w:val="24"/>
        </w:rPr>
        <w:t xml:space="preserve"> reflect readiness to use critical thinking effectively across academic, civic, and professional contexts. Moving forward, JMU is shifting its focus from teaching basic critical thinking skills to helping students apply </w:t>
      </w:r>
      <w:r w:rsidR="00DD0193">
        <w:rPr>
          <w:color w:val="000000" w:themeColor="text1"/>
          <w:sz w:val="24"/>
          <w:szCs w:val="24"/>
        </w:rPr>
        <w:t>said</w:t>
      </w:r>
      <w:r w:rsidRPr="00742708">
        <w:rPr>
          <w:color w:val="000000" w:themeColor="text1"/>
          <w:sz w:val="24"/>
          <w:szCs w:val="24"/>
        </w:rPr>
        <w:t xml:space="preserve"> skills across different courses and disciplines. This approach aligns with the university’s redesigned General Education Program, which emphasizes integrated learning, shared themes such as critical thinking and information literacy, and meaningful connections </w:t>
      </w:r>
      <w:r w:rsidR="0009574C">
        <w:rPr>
          <w:color w:val="000000" w:themeColor="text1"/>
          <w:sz w:val="24"/>
          <w:szCs w:val="24"/>
        </w:rPr>
        <w:t>between</w:t>
      </w:r>
      <w:r w:rsidRPr="00742708">
        <w:rPr>
          <w:color w:val="000000" w:themeColor="text1"/>
          <w:sz w:val="24"/>
          <w:szCs w:val="24"/>
        </w:rPr>
        <w:t xml:space="preserve"> coursework and students’ personal, civic, and professional lives. For instance, first-year students encounter courses that introduce and strengthen critical thinking, while </w:t>
      </w:r>
      <w:r w:rsidR="0009574C">
        <w:rPr>
          <w:color w:val="000000" w:themeColor="text1"/>
          <w:sz w:val="24"/>
          <w:szCs w:val="24"/>
        </w:rPr>
        <w:t>upper-level</w:t>
      </w:r>
      <w:r w:rsidRPr="00742708">
        <w:rPr>
          <w:color w:val="000000" w:themeColor="text1"/>
          <w:sz w:val="24"/>
          <w:szCs w:val="24"/>
        </w:rPr>
        <w:t xml:space="preserve"> students apply these skills </w:t>
      </w:r>
      <w:r w:rsidR="0009574C">
        <w:rPr>
          <w:color w:val="000000" w:themeColor="text1"/>
          <w:sz w:val="24"/>
          <w:szCs w:val="24"/>
        </w:rPr>
        <w:t>via</w:t>
      </w:r>
      <w:r w:rsidRPr="00742708">
        <w:rPr>
          <w:color w:val="000000" w:themeColor="text1"/>
          <w:sz w:val="24"/>
          <w:szCs w:val="24"/>
        </w:rPr>
        <w:t xml:space="preserve"> hands-on, integrative, and capstone projects.</w:t>
      </w:r>
    </w:p>
    <w:p w14:paraId="28D8E457" w14:textId="78699459" w:rsidR="1155635A" w:rsidRDefault="1155635A" w:rsidP="00AE5E4B">
      <w:pPr>
        <w:pStyle w:val="BodyText"/>
        <w:spacing w:before="241" w:line="276" w:lineRule="auto"/>
        <w:ind w:right="355"/>
        <w:jc w:val="both"/>
      </w:pPr>
      <w:r w:rsidRPr="4EB288A5">
        <w:t>Overall, this approach reflects JMU’s commitment to ensuring that students do not simply learn how to think critically during college, but to leave with the ability to apply those skills throughout their lives beyond graduation. Strong critical thinking skills help graduates navigate complex information, solve real</w:t>
      </w:r>
      <w:r>
        <w:noBreakHyphen/>
      </w:r>
      <w:r w:rsidRPr="4EB288A5">
        <w:t>world problems, and make thoughtful decisions in their careers and communities. By intentionally embedding these skills across the curriculum, the university positions higher education as a powerful catalyst for lifelong learning and good citizenship. In doing so, JMU prepares graduates to contribute meaningfully to the workforce and to society as informed, engaged, and adaptable thinkers.</w:t>
      </w:r>
    </w:p>
    <w:p w14:paraId="68A68579" w14:textId="12218105" w:rsidR="4EB288A5" w:rsidRDefault="4EB288A5" w:rsidP="4EB288A5">
      <w:pPr>
        <w:pStyle w:val="BodyText"/>
        <w:spacing w:before="241" w:line="276" w:lineRule="auto"/>
        <w:ind w:left="359" w:right="355"/>
        <w:jc w:val="both"/>
      </w:pPr>
    </w:p>
    <w:p w14:paraId="51701F4C" w14:textId="647C27DB" w:rsidR="00630DF7" w:rsidRDefault="00630DF7" w:rsidP="003D63C9">
      <w:pPr>
        <w:pStyle w:val="BodyText"/>
        <w:spacing w:before="241" w:line="276" w:lineRule="auto"/>
        <w:ind w:left="359" w:right="355"/>
        <w:jc w:val="both"/>
      </w:pPr>
    </w:p>
    <w:sectPr w:rsidR="00630DF7" w:rsidSect="00544C37">
      <w:pgSz w:w="12240" w:h="15840"/>
      <w:pgMar w:top="1380" w:right="720" w:bottom="118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0B39" w14:textId="77777777" w:rsidR="008A63A9" w:rsidRDefault="008A63A9">
      <w:r>
        <w:separator/>
      </w:r>
    </w:p>
  </w:endnote>
  <w:endnote w:type="continuationSeparator" w:id="0">
    <w:p w14:paraId="6587B6F2" w14:textId="77777777" w:rsidR="008A63A9" w:rsidRDefault="008A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1F5D" w14:textId="77777777" w:rsidR="00630DF7" w:rsidRDefault="002D67CC">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1701F5E" wp14:editId="51701F5F">
              <wp:simplePos x="0" y="0"/>
              <wp:positionH relativeFrom="page">
                <wp:posOffset>6979919</wp:posOffset>
              </wp:positionH>
              <wp:positionV relativeFrom="page">
                <wp:posOffset>9283727</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1701F6B" w14:textId="77777777" w:rsidR="00630DF7" w:rsidRDefault="002D67CC">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1701F5E" id="_x0000_t202" coordsize="21600,21600" o:spt="202" path="m,l,21600r21600,l21600,xe">
              <v:stroke joinstyle="miter"/>
              <v:path gradientshapeok="t" o:connecttype="rect"/>
            </v:shapetype>
            <v:shape id="Textbox 1" o:spid="_x0000_s1026" type="#_x0000_t202" style="position:absolute;margin-left:549.6pt;margin-top:731pt;width:12.5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" filled="f" stroked="f">
              <v:textbox inset="0,0,0,0">
                <w:txbxContent>
                  <w:p w14:paraId="51701F6B" w14:textId="77777777" w:rsidR="00630DF7" w:rsidRDefault="002D67CC">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80B5" w14:textId="77777777" w:rsidR="008A63A9" w:rsidRDefault="008A63A9">
      <w:r>
        <w:separator/>
      </w:r>
    </w:p>
  </w:footnote>
  <w:footnote w:type="continuationSeparator" w:id="0">
    <w:p w14:paraId="2634FFC1" w14:textId="77777777" w:rsidR="008A63A9" w:rsidRDefault="008A6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72CB"/>
    <w:multiLevelType w:val="hybridMultilevel"/>
    <w:tmpl w:val="2B5C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928E1"/>
    <w:multiLevelType w:val="hybridMultilevel"/>
    <w:tmpl w:val="147E826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52B658F9"/>
    <w:multiLevelType w:val="multilevel"/>
    <w:tmpl w:val="1580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939DD"/>
    <w:multiLevelType w:val="hybridMultilevel"/>
    <w:tmpl w:val="CF08E75C"/>
    <w:lvl w:ilvl="0" w:tplc="491C4DF4">
      <w:start w:val="1"/>
      <w:numFmt w:val="bullet"/>
      <w:lvlText w:val=""/>
      <w:lvlJc w:val="left"/>
      <w:pPr>
        <w:ind w:left="720" w:hanging="360"/>
      </w:pPr>
      <w:rPr>
        <w:rFonts w:ascii="Symbol" w:hAnsi="Symbol" w:hint="default"/>
      </w:rPr>
    </w:lvl>
    <w:lvl w:ilvl="1" w:tplc="E15C15DC">
      <w:start w:val="1"/>
      <w:numFmt w:val="bullet"/>
      <w:lvlText w:val="o"/>
      <w:lvlJc w:val="left"/>
      <w:pPr>
        <w:ind w:left="1440" w:hanging="360"/>
      </w:pPr>
      <w:rPr>
        <w:rFonts w:ascii="Courier New" w:hAnsi="Courier New" w:hint="default"/>
      </w:rPr>
    </w:lvl>
    <w:lvl w:ilvl="2" w:tplc="0A1E92A2">
      <w:start w:val="1"/>
      <w:numFmt w:val="bullet"/>
      <w:lvlText w:val=""/>
      <w:lvlJc w:val="left"/>
      <w:pPr>
        <w:ind w:left="2160" w:hanging="360"/>
      </w:pPr>
      <w:rPr>
        <w:rFonts w:ascii="Wingdings" w:hAnsi="Wingdings" w:hint="default"/>
      </w:rPr>
    </w:lvl>
    <w:lvl w:ilvl="3" w:tplc="B46C3804">
      <w:start w:val="1"/>
      <w:numFmt w:val="bullet"/>
      <w:lvlText w:val=""/>
      <w:lvlJc w:val="left"/>
      <w:pPr>
        <w:ind w:left="2880" w:hanging="360"/>
      </w:pPr>
      <w:rPr>
        <w:rFonts w:ascii="Symbol" w:hAnsi="Symbol" w:hint="default"/>
      </w:rPr>
    </w:lvl>
    <w:lvl w:ilvl="4" w:tplc="40E4ED0A">
      <w:start w:val="1"/>
      <w:numFmt w:val="bullet"/>
      <w:lvlText w:val="o"/>
      <w:lvlJc w:val="left"/>
      <w:pPr>
        <w:ind w:left="3600" w:hanging="360"/>
      </w:pPr>
      <w:rPr>
        <w:rFonts w:ascii="Courier New" w:hAnsi="Courier New" w:hint="default"/>
      </w:rPr>
    </w:lvl>
    <w:lvl w:ilvl="5" w:tplc="54D271B0">
      <w:start w:val="1"/>
      <w:numFmt w:val="bullet"/>
      <w:lvlText w:val=""/>
      <w:lvlJc w:val="left"/>
      <w:pPr>
        <w:ind w:left="4320" w:hanging="360"/>
      </w:pPr>
      <w:rPr>
        <w:rFonts w:ascii="Wingdings" w:hAnsi="Wingdings" w:hint="default"/>
      </w:rPr>
    </w:lvl>
    <w:lvl w:ilvl="6" w:tplc="EA80D8FE">
      <w:start w:val="1"/>
      <w:numFmt w:val="bullet"/>
      <w:lvlText w:val=""/>
      <w:lvlJc w:val="left"/>
      <w:pPr>
        <w:ind w:left="5040" w:hanging="360"/>
      </w:pPr>
      <w:rPr>
        <w:rFonts w:ascii="Symbol" w:hAnsi="Symbol" w:hint="default"/>
      </w:rPr>
    </w:lvl>
    <w:lvl w:ilvl="7" w:tplc="305451D0">
      <w:start w:val="1"/>
      <w:numFmt w:val="bullet"/>
      <w:lvlText w:val="o"/>
      <w:lvlJc w:val="left"/>
      <w:pPr>
        <w:ind w:left="5760" w:hanging="360"/>
      </w:pPr>
      <w:rPr>
        <w:rFonts w:ascii="Courier New" w:hAnsi="Courier New" w:hint="default"/>
      </w:rPr>
    </w:lvl>
    <w:lvl w:ilvl="8" w:tplc="F6721084">
      <w:start w:val="1"/>
      <w:numFmt w:val="bullet"/>
      <w:lvlText w:val=""/>
      <w:lvlJc w:val="left"/>
      <w:pPr>
        <w:ind w:left="6480" w:hanging="360"/>
      </w:pPr>
      <w:rPr>
        <w:rFonts w:ascii="Wingdings" w:hAnsi="Wingdings" w:hint="default"/>
      </w:rPr>
    </w:lvl>
  </w:abstractNum>
  <w:num w:numId="1" w16cid:durableId="611127964">
    <w:abstractNumId w:val="3"/>
  </w:num>
  <w:num w:numId="2" w16cid:durableId="1654945354">
    <w:abstractNumId w:val="0"/>
  </w:num>
  <w:num w:numId="3" w16cid:durableId="717976066">
    <w:abstractNumId w:val="2"/>
  </w:num>
  <w:num w:numId="4" w16cid:durableId="146422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F7"/>
    <w:rsid w:val="00027B7D"/>
    <w:rsid w:val="00044DE3"/>
    <w:rsid w:val="00053549"/>
    <w:rsid w:val="000545F4"/>
    <w:rsid w:val="0005624E"/>
    <w:rsid w:val="00061035"/>
    <w:rsid w:val="00070106"/>
    <w:rsid w:val="00080F73"/>
    <w:rsid w:val="00083C13"/>
    <w:rsid w:val="0009574C"/>
    <w:rsid w:val="000A7043"/>
    <w:rsid w:val="000C41B0"/>
    <w:rsid w:val="000C72D0"/>
    <w:rsid w:val="000D0DD4"/>
    <w:rsid w:val="000E6C92"/>
    <w:rsid w:val="00112A67"/>
    <w:rsid w:val="001218E2"/>
    <w:rsid w:val="001353D1"/>
    <w:rsid w:val="00136E31"/>
    <w:rsid w:val="00146B11"/>
    <w:rsid w:val="00150F5F"/>
    <w:rsid w:val="00171EEC"/>
    <w:rsid w:val="001A0ED0"/>
    <w:rsid w:val="001A6FE0"/>
    <w:rsid w:val="001D3FC6"/>
    <w:rsid w:val="001E1D62"/>
    <w:rsid w:val="001F4CA4"/>
    <w:rsid w:val="00207C96"/>
    <w:rsid w:val="002168D3"/>
    <w:rsid w:val="00235943"/>
    <w:rsid w:val="00256E60"/>
    <w:rsid w:val="002575DE"/>
    <w:rsid w:val="00257C44"/>
    <w:rsid w:val="0026179A"/>
    <w:rsid w:val="00275449"/>
    <w:rsid w:val="00277193"/>
    <w:rsid w:val="00280625"/>
    <w:rsid w:val="0028342D"/>
    <w:rsid w:val="00285CDE"/>
    <w:rsid w:val="002B7AAD"/>
    <w:rsid w:val="002D404F"/>
    <w:rsid w:val="002D67CC"/>
    <w:rsid w:val="00302F1A"/>
    <w:rsid w:val="00312600"/>
    <w:rsid w:val="00345005"/>
    <w:rsid w:val="0035111E"/>
    <w:rsid w:val="00354901"/>
    <w:rsid w:val="003628B1"/>
    <w:rsid w:val="00362F85"/>
    <w:rsid w:val="00375855"/>
    <w:rsid w:val="00375D5A"/>
    <w:rsid w:val="003A164A"/>
    <w:rsid w:val="003B2798"/>
    <w:rsid w:val="003C6843"/>
    <w:rsid w:val="003D63C9"/>
    <w:rsid w:val="003E0605"/>
    <w:rsid w:val="003F78B7"/>
    <w:rsid w:val="00412FFD"/>
    <w:rsid w:val="00434359"/>
    <w:rsid w:val="00445609"/>
    <w:rsid w:val="00454201"/>
    <w:rsid w:val="0046060E"/>
    <w:rsid w:val="0047129D"/>
    <w:rsid w:val="004A415B"/>
    <w:rsid w:val="004B1286"/>
    <w:rsid w:val="004C36E6"/>
    <w:rsid w:val="004C59A9"/>
    <w:rsid w:val="004D7384"/>
    <w:rsid w:val="004F118B"/>
    <w:rsid w:val="004F5903"/>
    <w:rsid w:val="00502F30"/>
    <w:rsid w:val="0052758D"/>
    <w:rsid w:val="00535D7C"/>
    <w:rsid w:val="00543CD8"/>
    <w:rsid w:val="00544C37"/>
    <w:rsid w:val="00554492"/>
    <w:rsid w:val="0055727F"/>
    <w:rsid w:val="00570760"/>
    <w:rsid w:val="00584B6B"/>
    <w:rsid w:val="00586697"/>
    <w:rsid w:val="005A5BD4"/>
    <w:rsid w:val="005B51EA"/>
    <w:rsid w:val="005D35CD"/>
    <w:rsid w:val="005D7CDA"/>
    <w:rsid w:val="005F1976"/>
    <w:rsid w:val="00607B8D"/>
    <w:rsid w:val="00624BDC"/>
    <w:rsid w:val="00630DF7"/>
    <w:rsid w:val="006342DE"/>
    <w:rsid w:val="006402A9"/>
    <w:rsid w:val="0065020D"/>
    <w:rsid w:val="00680323"/>
    <w:rsid w:val="006A0B34"/>
    <w:rsid w:val="006B0549"/>
    <w:rsid w:val="006B73B1"/>
    <w:rsid w:val="006C4BEE"/>
    <w:rsid w:val="006D5DB5"/>
    <w:rsid w:val="00702D12"/>
    <w:rsid w:val="0073178A"/>
    <w:rsid w:val="00742708"/>
    <w:rsid w:val="00756062"/>
    <w:rsid w:val="00766ED7"/>
    <w:rsid w:val="007840BF"/>
    <w:rsid w:val="00787A29"/>
    <w:rsid w:val="00787AA9"/>
    <w:rsid w:val="007A0B31"/>
    <w:rsid w:val="007A3BF3"/>
    <w:rsid w:val="007B070E"/>
    <w:rsid w:val="007B1A6C"/>
    <w:rsid w:val="007C4301"/>
    <w:rsid w:val="007C6C40"/>
    <w:rsid w:val="007D0CF6"/>
    <w:rsid w:val="007E14D1"/>
    <w:rsid w:val="0084269B"/>
    <w:rsid w:val="00874094"/>
    <w:rsid w:val="008979AE"/>
    <w:rsid w:val="008A63A9"/>
    <w:rsid w:val="008A6D3B"/>
    <w:rsid w:val="008A7D23"/>
    <w:rsid w:val="008B66BB"/>
    <w:rsid w:val="008D6C69"/>
    <w:rsid w:val="008D7920"/>
    <w:rsid w:val="008F25EA"/>
    <w:rsid w:val="008F3FF5"/>
    <w:rsid w:val="008F6EAF"/>
    <w:rsid w:val="00905E2D"/>
    <w:rsid w:val="00920D82"/>
    <w:rsid w:val="00932A22"/>
    <w:rsid w:val="009458D9"/>
    <w:rsid w:val="00965F41"/>
    <w:rsid w:val="00975425"/>
    <w:rsid w:val="009C1F2A"/>
    <w:rsid w:val="009C6CA9"/>
    <w:rsid w:val="009C7326"/>
    <w:rsid w:val="009E127D"/>
    <w:rsid w:val="00A26A1B"/>
    <w:rsid w:val="00A3545E"/>
    <w:rsid w:val="00A43711"/>
    <w:rsid w:val="00A57860"/>
    <w:rsid w:val="00A65EEE"/>
    <w:rsid w:val="00A75278"/>
    <w:rsid w:val="00A83CA4"/>
    <w:rsid w:val="00A8648F"/>
    <w:rsid w:val="00A92EA4"/>
    <w:rsid w:val="00AA3E69"/>
    <w:rsid w:val="00AC36F5"/>
    <w:rsid w:val="00AE5E4B"/>
    <w:rsid w:val="00B03651"/>
    <w:rsid w:val="00B32A15"/>
    <w:rsid w:val="00B35CC1"/>
    <w:rsid w:val="00B41387"/>
    <w:rsid w:val="00B52F5E"/>
    <w:rsid w:val="00B5760B"/>
    <w:rsid w:val="00B81C18"/>
    <w:rsid w:val="00BA531D"/>
    <w:rsid w:val="00BC6C99"/>
    <w:rsid w:val="00BD303E"/>
    <w:rsid w:val="00C1492D"/>
    <w:rsid w:val="00C1760C"/>
    <w:rsid w:val="00C36504"/>
    <w:rsid w:val="00C369D4"/>
    <w:rsid w:val="00C447DC"/>
    <w:rsid w:val="00C464A5"/>
    <w:rsid w:val="00C673D1"/>
    <w:rsid w:val="00C7016E"/>
    <w:rsid w:val="00C739EF"/>
    <w:rsid w:val="00C73D76"/>
    <w:rsid w:val="00C842FF"/>
    <w:rsid w:val="00C8518E"/>
    <w:rsid w:val="00CB6A1A"/>
    <w:rsid w:val="00CE2309"/>
    <w:rsid w:val="00CE2A50"/>
    <w:rsid w:val="00CE3BEC"/>
    <w:rsid w:val="00D01806"/>
    <w:rsid w:val="00D1435F"/>
    <w:rsid w:val="00D47B6C"/>
    <w:rsid w:val="00D667C3"/>
    <w:rsid w:val="00D83E19"/>
    <w:rsid w:val="00D96EE1"/>
    <w:rsid w:val="00DB37D1"/>
    <w:rsid w:val="00DB45B3"/>
    <w:rsid w:val="00DD0193"/>
    <w:rsid w:val="00DE419C"/>
    <w:rsid w:val="00E15DEB"/>
    <w:rsid w:val="00E2314B"/>
    <w:rsid w:val="00E30337"/>
    <w:rsid w:val="00E43CE9"/>
    <w:rsid w:val="00E5090C"/>
    <w:rsid w:val="00E67CF2"/>
    <w:rsid w:val="00E73B55"/>
    <w:rsid w:val="00E74139"/>
    <w:rsid w:val="00E755B1"/>
    <w:rsid w:val="00E77052"/>
    <w:rsid w:val="00EA49A9"/>
    <w:rsid w:val="00EB2C9F"/>
    <w:rsid w:val="00EB522F"/>
    <w:rsid w:val="00EC1B75"/>
    <w:rsid w:val="00ED63E6"/>
    <w:rsid w:val="00EE1486"/>
    <w:rsid w:val="00EE5E98"/>
    <w:rsid w:val="00EF6FD1"/>
    <w:rsid w:val="00F4029F"/>
    <w:rsid w:val="00F55EBE"/>
    <w:rsid w:val="00F618D4"/>
    <w:rsid w:val="00F6520F"/>
    <w:rsid w:val="00FB265D"/>
    <w:rsid w:val="00FB4254"/>
    <w:rsid w:val="00FB6C4E"/>
    <w:rsid w:val="00FC3827"/>
    <w:rsid w:val="00FD3FFC"/>
    <w:rsid w:val="00FE0FB6"/>
    <w:rsid w:val="00FE45ED"/>
    <w:rsid w:val="028C91B9"/>
    <w:rsid w:val="04E2622C"/>
    <w:rsid w:val="055E79A5"/>
    <w:rsid w:val="08AFEEA7"/>
    <w:rsid w:val="0A4B7CFC"/>
    <w:rsid w:val="0BE3F3B4"/>
    <w:rsid w:val="0C72871B"/>
    <w:rsid w:val="0FF6074E"/>
    <w:rsid w:val="1155635A"/>
    <w:rsid w:val="171E49C9"/>
    <w:rsid w:val="1FD51222"/>
    <w:rsid w:val="20313AB7"/>
    <w:rsid w:val="243F7EB3"/>
    <w:rsid w:val="303A95EB"/>
    <w:rsid w:val="34809DFA"/>
    <w:rsid w:val="36CC8886"/>
    <w:rsid w:val="3E1BD809"/>
    <w:rsid w:val="4EB288A5"/>
    <w:rsid w:val="4FBCF3AA"/>
    <w:rsid w:val="5A6E3D1A"/>
    <w:rsid w:val="5F63B663"/>
    <w:rsid w:val="660816D2"/>
    <w:rsid w:val="6C0DC7CA"/>
    <w:rsid w:val="70C358E8"/>
    <w:rsid w:val="725956F2"/>
    <w:rsid w:val="745C609B"/>
    <w:rsid w:val="7976FCFA"/>
    <w:rsid w:val="7C9B1B34"/>
    <w:rsid w:val="7D58E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1F10"/>
  <w15:docId w15:val="{38B3B4B1-445B-4FE1-BF99-46D68A1A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99"/>
    <w:rPr>
      <w:rFonts w:ascii="Times New Roman" w:eastAsia="Times New Roman" w:hAnsi="Times New Roman" w:cs="Times New Roman"/>
    </w:rPr>
  </w:style>
  <w:style w:type="paragraph" w:styleId="Heading1">
    <w:name w:val="heading 1"/>
    <w:basedOn w:val="Normal"/>
    <w:next w:val="Normal"/>
    <w:link w:val="Heading1Char"/>
    <w:uiPriority w:val="9"/>
    <w:qFormat/>
    <w:rsid w:val="009C7326"/>
    <w:pPr>
      <w:keepNext/>
      <w:keepLines/>
      <w:shd w:val="clear" w:color="auto" w:fill="450084"/>
      <w:spacing w:before="120" w:after="120"/>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168D3"/>
    <w:pPr>
      <w:keepNext/>
      <w:keepLines/>
      <w:shd w:val="clear" w:color="auto" w:fill="F3EFE1"/>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A43711"/>
    <w:pPr>
      <w:keepNext/>
      <w:keepLines/>
      <w:spacing w:before="40"/>
      <w:outlineLvl w:val="2"/>
    </w:pPr>
    <w:rPr>
      <w:rFonts w:eastAsiaTheme="majorEastAsia" w:cstheme="majorBidi"/>
      <w:b/>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226" w:right="373" w:hanging="982"/>
    </w:pPr>
    <w:rPr>
      <w:rFonts w:ascii="Arial" w:eastAsia="Arial" w:hAnsi="Arial" w:cs="Arial"/>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5490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54901"/>
    <w:rPr>
      <w:sz w:val="16"/>
      <w:szCs w:val="16"/>
    </w:rPr>
  </w:style>
  <w:style w:type="paragraph" w:styleId="CommentText">
    <w:name w:val="annotation text"/>
    <w:basedOn w:val="Normal"/>
    <w:link w:val="CommentTextChar"/>
    <w:uiPriority w:val="99"/>
    <w:unhideWhenUsed/>
    <w:rsid w:val="00354901"/>
    <w:rPr>
      <w:sz w:val="20"/>
      <w:szCs w:val="20"/>
    </w:rPr>
  </w:style>
  <w:style w:type="character" w:customStyle="1" w:styleId="CommentTextChar">
    <w:name w:val="Comment Text Char"/>
    <w:basedOn w:val="DefaultParagraphFont"/>
    <w:link w:val="CommentText"/>
    <w:uiPriority w:val="99"/>
    <w:rsid w:val="003549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901"/>
    <w:rPr>
      <w:b/>
      <w:bCs/>
    </w:rPr>
  </w:style>
  <w:style w:type="character" w:customStyle="1" w:styleId="CommentSubjectChar">
    <w:name w:val="Comment Subject Char"/>
    <w:basedOn w:val="CommentTextChar"/>
    <w:link w:val="CommentSubject"/>
    <w:uiPriority w:val="99"/>
    <w:semiHidden/>
    <w:rsid w:val="0035490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C7326"/>
    <w:rPr>
      <w:rFonts w:ascii="Times New Roman" w:eastAsiaTheme="majorEastAsia" w:hAnsi="Times New Roman" w:cstheme="majorBidi"/>
      <w:b/>
      <w:sz w:val="32"/>
      <w:szCs w:val="32"/>
      <w:shd w:val="clear" w:color="auto" w:fill="450084"/>
    </w:rPr>
  </w:style>
  <w:style w:type="paragraph" w:styleId="Quote">
    <w:name w:val="Quote"/>
    <w:basedOn w:val="Normal"/>
    <w:next w:val="Normal"/>
    <w:link w:val="QuoteChar"/>
    <w:uiPriority w:val="29"/>
    <w:qFormat/>
    <w:rsid w:val="00E755B1"/>
    <w:pPr>
      <w:shd w:val="clear" w:color="auto" w:fill="F4EFE1"/>
      <w:spacing w:before="200" w:after="160"/>
      <w:ind w:left="864" w:right="864"/>
    </w:pPr>
    <w:rPr>
      <w:i/>
      <w:iCs/>
      <w:color w:val="404040" w:themeColor="text1" w:themeTint="BF"/>
      <w:sz w:val="24"/>
    </w:rPr>
  </w:style>
  <w:style w:type="character" w:customStyle="1" w:styleId="QuoteChar">
    <w:name w:val="Quote Char"/>
    <w:basedOn w:val="DefaultParagraphFont"/>
    <w:link w:val="Quote"/>
    <w:uiPriority w:val="29"/>
    <w:rsid w:val="00E755B1"/>
    <w:rPr>
      <w:rFonts w:ascii="Times New Roman" w:eastAsia="Times New Roman" w:hAnsi="Times New Roman" w:cs="Times New Roman"/>
      <w:i/>
      <w:iCs/>
      <w:color w:val="404040" w:themeColor="text1" w:themeTint="BF"/>
      <w:sz w:val="24"/>
      <w:shd w:val="clear" w:color="auto" w:fill="F4EFE1"/>
    </w:rPr>
  </w:style>
  <w:style w:type="character" w:customStyle="1" w:styleId="Heading2Char">
    <w:name w:val="Heading 2 Char"/>
    <w:basedOn w:val="DefaultParagraphFont"/>
    <w:link w:val="Heading2"/>
    <w:uiPriority w:val="9"/>
    <w:rsid w:val="002168D3"/>
    <w:rPr>
      <w:rFonts w:ascii="Times New Roman" w:eastAsiaTheme="majorEastAsia" w:hAnsi="Times New Roman" w:cstheme="majorBidi"/>
      <w:b/>
      <w:sz w:val="26"/>
      <w:szCs w:val="26"/>
      <w:shd w:val="clear" w:color="auto" w:fill="F3EFE1"/>
    </w:rPr>
  </w:style>
  <w:style w:type="table" w:styleId="TableGrid">
    <w:name w:val="Table Grid"/>
    <w:basedOn w:val="TableNormal"/>
    <w:uiPriority w:val="39"/>
    <w:rsid w:val="00F6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520F"/>
    <w:pPr>
      <w:spacing w:after="200"/>
    </w:pPr>
    <w:rPr>
      <w:i/>
      <w:iCs/>
      <w:color w:val="1F497D" w:themeColor="text2"/>
      <w:sz w:val="18"/>
      <w:szCs w:val="18"/>
    </w:rPr>
  </w:style>
  <w:style w:type="table" w:styleId="GridTable2-Accent4">
    <w:name w:val="Grid Table 2 Accent 4"/>
    <w:basedOn w:val="TableNormal"/>
    <w:uiPriority w:val="47"/>
    <w:rsid w:val="00F55EB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semiHidden/>
    <w:unhideWhenUsed/>
    <w:rsid w:val="00280625"/>
    <w:pPr>
      <w:widowControl/>
      <w:autoSpaceDE/>
      <w:autoSpaceDN/>
      <w:spacing w:before="100" w:beforeAutospacing="1" w:after="100" w:afterAutospacing="1"/>
    </w:pPr>
    <w:rPr>
      <w:sz w:val="24"/>
      <w:szCs w:val="24"/>
      <w:lang w:eastAsia="zh-CN"/>
    </w:rPr>
  </w:style>
  <w:style w:type="paragraph" w:customStyle="1" w:styleId="maintext">
    <w:name w:val="main text"/>
    <w:basedOn w:val="Normal"/>
    <w:qFormat/>
    <w:rsid w:val="008D6C69"/>
    <w:pPr>
      <w:widowControl/>
      <w:autoSpaceDE/>
      <w:autoSpaceDN/>
      <w:spacing w:before="120" w:after="120"/>
      <w:ind w:firstLine="720"/>
    </w:pPr>
    <w:rPr>
      <w:rFonts w:eastAsiaTheme="minorHAnsi" w:cstheme="minorBidi"/>
      <w:kern w:val="20"/>
      <w:sz w:val="24"/>
      <w:szCs w:val="20"/>
      <w:lang w:eastAsia="ja-JP"/>
    </w:rPr>
  </w:style>
  <w:style w:type="paragraph" w:customStyle="1" w:styleId="Heading31">
    <w:name w:val="Heading 31"/>
    <w:basedOn w:val="Normal"/>
    <w:next w:val="Normal"/>
    <w:autoRedefine/>
    <w:uiPriority w:val="1"/>
    <w:qFormat/>
    <w:rsid w:val="008D6C69"/>
    <w:pPr>
      <w:keepNext/>
      <w:widowControl/>
      <w:autoSpaceDE/>
      <w:autoSpaceDN/>
      <w:outlineLvl w:val="2"/>
    </w:pPr>
    <w:rPr>
      <w:b/>
      <w:bCs/>
      <w:color w:val="450084"/>
      <w:sz w:val="28"/>
      <w:szCs w:val="28"/>
    </w:rPr>
  </w:style>
  <w:style w:type="character" w:customStyle="1" w:styleId="Heading3Char">
    <w:name w:val="Heading 3 Char"/>
    <w:basedOn w:val="DefaultParagraphFont"/>
    <w:link w:val="Heading3"/>
    <w:uiPriority w:val="9"/>
    <w:rsid w:val="00A43711"/>
    <w:rPr>
      <w:rFonts w:ascii="Times New Roman" w:eastAsiaTheme="majorEastAsia" w:hAnsi="Times New Roman" w:cstheme="majorBidi"/>
      <w:b/>
      <w:color w:val="243F60" w:themeColor="accent1" w:themeShade="7F"/>
      <w:sz w:val="24"/>
      <w:szCs w:val="24"/>
    </w:rPr>
  </w:style>
  <w:style w:type="paragraph" w:customStyle="1" w:styleId="p1">
    <w:name w:val="p1"/>
    <w:basedOn w:val="Normal"/>
    <w:rsid w:val="002D404F"/>
    <w:pPr>
      <w:widowControl/>
      <w:autoSpaceDE/>
      <w:autoSpaceDN/>
      <w:spacing w:before="100" w:beforeAutospacing="1" w:after="100" w:afterAutospacing="1"/>
    </w:pPr>
    <w:rPr>
      <w:sz w:val="24"/>
      <w:szCs w:val="24"/>
      <w:lang w:eastAsia="zh-CN"/>
    </w:rPr>
  </w:style>
  <w:style w:type="character" w:customStyle="1" w:styleId="s1">
    <w:name w:val="s1"/>
    <w:basedOn w:val="DefaultParagraphFont"/>
    <w:rsid w:val="002D404F"/>
  </w:style>
  <w:style w:type="character" w:styleId="Strong">
    <w:name w:val="Strong"/>
    <w:basedOn w:val="DefaultParagraphFont"/>
    <w:uiPriority w:val="22"/>
    <w:qFormat/>
    <w:rsid w:val="00905E2D"/>
    <w:rPr>
      <w:b/>
      <w:bCs/>
    </w:rPr>
  </w:style>
  <w:style w:type="paragraph" w:styleId="Header">
    <w:name w:val="header"/>
    <w:basedOn w:val="Normal"/>
    <w:link w:val="HeaderChar"/>
    <w:uiPriority w:val="99"/>
    <w:unhideWhenUsed/>
    <w:rsid w:val="00FB6C4E"/>
    <w:pPr>
      <w:tabs>
        <w:tab w:val="center" w:pos="4680"/>
        <w:tab w:val="right" w:pos="9360"/>
      </w:tabs>
    </w:pPr>
  </w:style>
  <w:style w:type="character" w:customStyle="1" w:styleId="HeaderChar">
    <w:name w:val="Header Char"/>
    <w:basedOn w:val="DefaultParagraphFont"/>
    <w:link w:val="Header"/>
    <w:uiPriority w:val="99"/>
    <w:rsid w:val="00FB6C4E"/>
    <w:rPr>
      <w:rFonts w:ascii="Times New Roman" w:eastAsia="Times New Roman" w:hAnsi="Times New Roman" w:cs="Times New Roman"/>
    </w:rPr>
  </w:style>
  <w:style w:type="paragraph" w:styleId="Footer">
    <w:name w:val="footer"/>
    <w:basedOn w:val="Normal"/>
    <w:link w:val="FooterChar"/>
    <w:uiPriority w:val="99"/>
    <w:unhideWhenUsed/>
    <w:rsid w:val="00FB6C4E"/>
    <w:pPr>
      <w:tabs>
        <w:tab w:val="center" w:pos="4680"/>
        <w:tab w:val="right" w:pos="9360"/>
      </w:tabs>
    </w:pPr>
  </w:style>
  <w:style w:type="character" w:customStyle="1" w:styleId="FooterChar">
    <w:name w:val="Footer Char"/>
    <w:basedOn w:val="DefaultParagraphFont"/>
    <w:link w:val="Footer"/>
    <w:uiPriority w:val="99"/>
    <w:rsid w:val="00FB6C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1807">
      <w:bodyDiv w:val="1"/>
      <w:marLeft w:val="0"/>
      <w:marRight w:val="0"/>
      <w:marTop w:val="0"/>
      <w:marBottom w:val="0"/>
      <w:divBdr>
        <w:top w:val="none" w:sz="0" w:space="0" w:color="auto"/>
        <w:left w:val="none" w:sz="0" w:space="0" w:color="auto"/>
        <w:bottom w:val="none" w:sz="0" w:space="0" w:color="auto"/>
        <w:right w:val="none" w:sz="0" w:space="0" w:color="auto"/>
      </w:divBdr>
    </w:div>
    <w:div w:id="379473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50ed19ec5b70fe2754108e6ebaf32675">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17e18b40a6d72aadc230e6631a30f930"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C7EEB85D-CB66-4B03-9720-E931A625532F}">
  <ds:schemaRefs>
    <ds:schemaRef ds:uri="http://schemas.openxmlformats.org/officeDocument/2006/bibliography"/>
  </ds:schemaRefs>
</ds:datastoreItem>
</file>

<file path=customXml/itemProps2.xml><?xml version="1.0" encoding="utf-8"?>
<ds:datastoreItem xmlns:ds="http://schemas.openxmlformats.org/officeDocument/2006/customXml" ds:itemID="{546155A7-85DB-446F-A308-9E4D90D8A9F8}">
  <ds:schemaRefs>
    <ds:schemaRef ds:uri="http://schemas.microsoft.com/sharepoint/v3/contenttype/forms"/>
  </ds:schemaRefs>
</ds:datastoreItem>
</file>

<file path=customXml/itemProps3.xml><?xml version="1.0" encoding="utf-8"?>
<ds:datastoreItem xmlns:ds="http://schemas.openxmlformats.org/officeDocument/2006/customXml" ds:itemID="{3AEF16FA-BC84-4081-A5DE-006FDCFA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BBC94-E8F7-48A3-90C7-273C2D0BAE9E}">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1371</Words>
  <Characters>8667</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Megan Rodgers - good2mr</dc:creator>
  <cp:lastModifiedBy>Bao, Yu - bao2yx</cp:lastModifiedBy>
  <cp:revision>10</cp:revision>
  <dcterms:created xsi:type="dcterms:W3CDTF">2026-06-05T15:38:00Z</dcterms:created>
  <dcterms:modified xsi:type="dcterms:W3CDTF">2026-06-08T18:14:00Z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LastSaved">
    <vt:filetime>2025-09-01T00:00:00Z</vt:filetime>
  </property>
  <property fmtid="{D5CDD505-2E9C-101B-9397-08002B2CF9AE}" pid="4" name="Producer">
    <vt:lpwstr>3-Heights(TM) PDF Security Shell 4.8.25.2 (http://www.pdf-tools.com)</vt:lpwstr>
  </property>
  <property fmtid="{D5CDD505-2E9C-101B-9397-08002B2CF9AE}" pid="5" name="ContentTypeId">
    <vt:lpwstr>0x010100A74EEBEF7334F04098387A12A8F8EDC1</vt:lpwstr>
  </property>
  <property fmtid="{D5CDD505-2E9C-101B-9397-08002B2CF9AE}" pid="6" name="MediaServiceImageTags">
    <vt:lpwstr/>
  </property>
</Properties>
</file>