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490" w:rsidRDefault="002838CF" w:rsidP="00C776C9">
      <w:pPr>
        <w:pStyle w:val="Header"/>
        <w:widowControl w:val="0"/>
        <w:tabs>
          <w:tab w:val="clear" w:pos="4320"/>
          <w:tab w:val="clear" w:pos="8640"/>
          <w:tab w:val="right" w:pos="9360"/>
        </w:tabs>
      </w:pPr>
      <w:r>
        <w:rPr>
          <w:noProof/>
        </w:rPr>
        <w:drawing>
          <wp:inline distT="0" distB="0" distL="0" distR="0">
            <wp:extent cx="1857375" cy="12018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70" cy="121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 w:rsidR="00E52862">
        <w:rPr>
          <w:rFonts w:ascii="Arial" w:hAnsi="Arial" w:cs="Arial"/>
        </w:rPr>
        <w:t>University Advancement</w:t>
      </w:r>
      <w:r w:rsidR="00D4577C">
        <w:rPr>
          <w:rFonts w:ascii="Arial" w:hAnsi="Arial" w:cs="Arial"/>
        </w:rPr>
        <w:t xml:space="preserve">, </w:t>
      </w:r>
      <w:r w:rsidR="00B60A46">
        <w:rPr>
          <w:rFonts w:ascii="Arial" w:hAnsi="Arial" w:cs="Arial"/>
        </w:rPr>
        <w:t>&lt;CHAIR UNIT NAME&gt;</w:t>
      </w:r>
    </w:p>
    <w:p w:rsidR="00BB7490" w:rsidRDefault="00BB7490">
      <w:pPr>
        <w:pStyle w:val="Header"/>
        <w:widowControl w:val="0"/>
        <w:tabs>
          <w:tab w:val="clear" w:pos="4320"/>
          <w:tab w:val="clear" w:pos="8640"/>
          <w:tab w:val="right" w:pos="9360"/>
        </w:tabs>
        <w:jc w:val="right"/>
        <w:rPr>
          <w:sz w:val="8"/>
        </w:rPr>
      </w:pPr>
    </w:p>
    <w:p w:rsidR="00BB7490" w:rsidRDefault="00B60A46">
      <w:pPr>
        <w:widowControl w:val="0"/>
        <w:spacing w:line="19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margin">
                  <wp:posOffset>51435</wp:posOffset>
                </wp:positionH>
                <wp:positionV relativeFrom="paragraph">
                  <wp:posOffset>-36830</wp:posOffset>
                </wp:positionV>
                <wp:extent cx="5943600" cy="6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4F333" id="Rectangle 2" o:spid="_x0000_s1026" style="position:absolute;margin-left:4.05pt;margin-top:-2.9pt;width:468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" o:allowincell="f" fillcolor="black" strokeweight=".25pt">
                <w10:wrap anchorx="margin"/>
                <w10:anchorlock/>
              </v:rect>
            </w:pict>
          </mc:Fallback>
        </mc:AlternateContent>
      </w:r>
    </w:p>
    <w:p w:rsidR="00BB7490" w:rsidRPr="00F07D27" w:rsidRDefault="00190A8B">
      <w:pPr>
        <w:pStyle w:val="Heading1"/>
        <w:rPr>
          <w:rFonts w:ascii="Arial" w:hAnsi="Arial" w:cs="Arial"/>
          <w:sz w:val="24"/>
        </w:rPr>
      </w:pPr>
      <w:r>
        <w:rPr>
          <w:rFonts w:ascii="Arial" w:hAnsi="Arial" w:cs="Arial"/>
        </w:rPr>
        <w:t>Final Report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80"/>
        <w:gridCol w:w="8280"/>
      </w:tblGrid>
      <w:tr w:rsidR="00BB7490">
        <w:trPr>
          <w:jc w:val="center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B7490" w:rsidRDefault="00BB7490">
            <w:pPr>
              <w:widowControl w:val="0"/>
              <w:spacing w:after="58"/>
              <w:rPr>
                <w:b/>
                <w:sz w:val="24"/>
              </w:rPr>
            </w:pPr>
            <w:r>
              <w:rPr>
                <w:b/>
                <w:sz w:val="24"/>
              </w:rPr>
              <w:t>To:</w:t>
            </w:r>
          </w:p>
        </w:tc>
        <w:tc>
          <w:tcPr>
            <w:tcW w:w="8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B7490" w:rsidRDefault="00D4577C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>Nick Langridge</w:t>
            </w:r>
          </w:p>
        </w:tc>
      </w:tr>
      <w:tr w:rsidR="00BB7490">
        <w:trPr>
          <w:jc w:val="center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B7490" w:rsidRDefault="00BB7490">
            <w:pPr>
              <w:widowControl w:val="0"/>
              <w:spacing w:after="58"/>
              <w:rPr>
                <w:b/>
                <w:sz w:val="24"/>
              </w:rPr>
            </w:pPr>
            <w:r>
              <w:rPr>
                <w:b/>
                <w:sz w:val="24"/>
              </w:rPr>
              <w:t>From:</w:t>
            </w:r>
          </w:p>
        </w:tc>
        <w:tc>
          <w:tcPr>
            <w:tcW w:w="8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5380E" w:rsidRDefault="00B60A46">
            <w:pPr>
              <w:widowControl w:val="0"/>
              <w:spacing w:after="58"/>
              <w:rPr>
                <w:sz w:val="24"/>
              </w:rPr>
            </w:pPr>
            <w:r>
              <w:rPr>
                <w:sz w:val="24"/>
              </w:rPr>
              <w:t>&lt;COMMITTEE CHAIR&gt;</w:t>
            </w:r>
          </w:p>
        </w:tc>
      </w:tr>
      <w:tr w:rsidR="00BB7490">
        <w:trPr>
          <w:jc w:val="center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B7490" w:rsidRDefault="00BB7490">
            <w:pPr>
              <w:widowControl w:val="0"/>
              <w:spacing w:after="58"/>
              <w:rPr>
                <w:b/>
                <w:sz w:val="24"/>
              </w:rPr>
            </w:pPr>
            <w:r>
              <w:rPr>
                <w:b/>
                <w:sz w:val="24"/>
              </w:rPr>
              <w:t>Subject:</w:t>
            </w:r>
          </w:p>
        </w:tc>
        <w:tc>
          <w:tcPr>
            <w:tcW w:w="8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A3853" w:rsidRPr="003D5AD9" w:rsidRDefault="00B60A46" w:rsidP="00190A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&lt;DEPARTMENT&gt;</w:t>
            </w:r>
            <w:r w:rsidR="00D4577C">
              <w:rPr>
                <w:b/>
                <w:sz w:val="24"/>
                <w:szCs w:val="24"/>
              </w:rPr>
              <w:t xml:space="preserve"> Program Review –</w:t>
            </w:r>
            <w:r w:rsidR="00A4178D">
              <w:rPr>
                <w:b/>
                <w:sz w:val="24"/>
                <w:szCs w:val="24"/>
              </w:rPr>
              <w:t xml:space="preserve"> </w:t>
            </w:r>
            <w:r w:rsidR="00190A8B">
              <w:rPr>
                <w:b/>
                <w:sz w:val="24"/>
                <w:szCs w:val="24"/>
              </w:rPr>
              <w:t>Final</w:t>
            </w:r>
            <w:r w:rsidR="00A4178D">
              <w:rPr>
                <w:b/>
                <w:sz w:val="24"/>
                <w:szCs w:val="24"/>
              </w:rPr>
              <w:t xml:space="preserve"> </w:t>
            </w:r>
            <w:r w:rsidR="00D4577C">
              <w:rPr>
                <w:b/>
                <w:sz w:val="24"/>
                <w:szCs w:val="24"/>
              </w:rPr>
              <w:t>Report</w:t>
            </w:r>
          </w:p>
        </w:tc>
      </w:tr>
      <w:tr w:rsidR="00BB7490">
        <w:trPr>
          <w:jc w:val="center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B7490" w:rsidRDefault="00BB7490">
            <w:pPr>
              <w:widowControl w:val="0"/>
              <w:spacing w:after="58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8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B7490" w:rsidRDefault="00B60A46" w:rsidP="00F13E5E">
            <w:pPr>
              <w:rPr>
                <w:sz w:val="24"/>
              </w:rPr>
            </w:pPr>
            <w:r>
              <w:rPr>
                <w:sz w:val="24"/>
              </w:rPr>
              <w:t>&lt;DATE&gt;</w:t>
            </w:r>
          </w:p>
        </w:tc>
      </w:tr>
    </w:tbl>
    <w:p w:rsidR="00E125B9" w:rsidRDefault="00E125B9" w:rsidP="00E125B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52862" w:rsidRDefault="00E52862" w:rsidP="00E125B9">
      <w:pPr>
        <w:rPr>
          <w:sz w:val="22"/>
          <w:szCs w:val="22"/>
        </w:rPr>
      </w:pPr>
    </w:p>
    <w:p w:rsidR="000C22A3" w:rsidRPr="003602DF" w:rsidRDefault="00A4178D" w:rsidP="000C22A3">
      <w:pPr>
        <w:rPr>
          <w:rFonts w:ascii="Calibri" w:hAnsi="Calibri"/>
          <w:b/>
          <w:sz w:val="22"/>
          <w:szCs w:val="22"/>
        </w:rPr>
      </w:pPr>
      <w:r w:rsidRPr="003602DF">
        <w:rPr>
          <w:rFonts w:ascii="Calibri" w:hAnsi="Calibri"/>
          <w:b/>
          <w:sz w:val="22"/>
          <w:szCs w:val="22"/>
        </w:rPr>
        <w:t>EXECUTIVE SUMMARY</w:t>
      </w:r>
    </w:p>
    <w:p w:rsidR="00A4178D" w:rsidRDefault="00916A88" w:rsidP="000C22A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executive summary is a brief overview, of the program review process.  </w:t>
      </w:r>
      <w:r w:rsidR="008F4B67">
        <w:rPr>
          <w:rFonts w:ascii="Calibri" w:hAnsi="Calibri"/>
          <w:sz w:val="22"/>
          <w:szCs w:val="22"/>
        </w:rPr>
        <w:t>It should contain three sections.</w:t>
      </w:r>
    </w:p>
    <w:p w:rsidR="00665246" w:rsidRPr="00665246" w:rsidRDefault="008F4B67" w:rsidP="00665246">
      <w:pPr>
        <w:pStyle w:val="ListParagraph"/>
        <w:numPr>
          <w:ilvl w:val="0"/>
          <w:numId w:val="30"/>
        </w:numPr>
        <w:rPr>
          <w:rFonts w:ascii="Calibri" w:hAnsi="Calibri"/>
          <w:i/>
          <w:sz w:val="22"/>
          <w:szCs w:val="22"/>
        </w:rPr>
      </w:pPr>
      <w:r w:rsidRPr="00665246">
        <w:rPr>
          <w:rFonts w:ascii="Calibri" w:hAnsi="Calibri"/>
          <w:b/>
          <w:sz w:val="22"/>
          <w:szCs w:val="22"/>
        </w:rPr>
        <w:t>Review process</w:t>
      </w:r>
      <w:r w:rsidR="00665246" w:rsidRPr="00665246">
        <w:rPr>
          <w:rFonts w:ascii="Calibri" w:hAnsi="Calibri"/>
          <w:b/>
          <w:sz w:val="22"/>
          <w:szCs w:val="22"/>
        </w:rPr>
        <w:t xml:space="preserve"> </w:t>
      </w:r>
      <w:r w:rsidR="00665246">
        <w:rPr>
          <w:rFonts w:ascii="Calibri" w:hAnsi="Calibri"/>
          <w:b/>
          <w:sz w:val="22"/>
          <w:szCs w:val="22"/>
        </w:rPr>
        <w:t>–</w:t>
      </w:r>
      <w:r w:rsidR="00665246" w:rsidRPr="00665246">
        <w:rPr>
          <w:rFonts w:ascii="Calibri" w:hAnsi="Calibri"/>
          <w:sz w:val="22"/>
          <w:szCs w:val="22"/>
        </w:rPr>
        <w:t xml:space="preserve"> </w:t>
      </w:r>
      <w:r w:rsidR="00665246">
        <w:rPr>
          <w:rFonts w:ascii="Calibri" w:hAnsi="Calibri"/>
          <w:i/>
          <w:sz w:val="22"/>
          <w:szCs w:val="22"/>
        </w:rPr>
        <w:t xml:space="preserve">A </w:t>
      </w:r>
      <w:r w:rsidR="00665246" w:rsidRPr="00665246">
        <w:rPr>
          <w:rFonts w:ascii="Calibri" w:hAnsi="Calibri"/>
          <w:i/>
          <w:sz w:val="22"/>
          <w:szCs w:val="22"/>
        </w:rPr>
        <w:t>brief overview of the phases and timeframe of the review. Below is an example.</w:t>
      </w:r>
    </w:p>
    <w:p w:rsidR="00665246" w:rsidRPr="003810EC" w:rsidRDefault="00665246" w:rsidP="00665246">
      <w:pPr>
        <w:ind w:left="1440"/>
        <w:rPr>
          <w:rFonts w:ascii="Calibri" w:hAnsi="Calibri"/>
          <w:sz w:val="22"/>
          <w:szCs w:val="22"/>
        </w:rPr>
      </w:pPr>
      <w:r w:rsidRPr="003810EC">
        <w:rPr>
          <w:rFonts w:ascii="Calibri" w:hAnsi="Calibri"/>
          <w:sz w:val="22"/>
          <w:szCs w:val="22"/>
        </w:rPr>
        <w:t xml:space="preserve">The </w:t>
      </w:r>
      <w:r>
        <w:rPr>
          <w:rFonts w:ascii="Calibri" w:hAnsi="Calibri"/>
          <w:sz w:val="22"/>
          <w:szCs w:val="22"/>
        </w:rPr>
        <w:t>&lt;DEPARTMENT&gt; program review</w:t>
      </w:r>
      <w:r w:rsidRPr="003810EC">
        <w:rPr>
          <w:rFonts w:ascii="Calibri" w:hAnsi="Calibri"/>
          <w:sz w:val="22"/>
          <w:szCs w:val="22"/>
        </w:rPr>
        <w:t xml:space="preserve"> followed a three-phase proce</w:t>
      </w:r>
      <w:bookmarkStart w:id="0" w:name="_GoBack"/>
      <w:bookmarkEnd w:id="0"/>
      <w:r w:rsidRPr="003810EC">
        <w:rPr>
          <w:rFonts w:ascii="Calibri" w:hAnsi="Calibri"/>
          <w:sz w:val="22"/>
          <w:szCs w:val="22"/>
        </w:rPr>
        <w:t xml:space="preserve">ss beginning in </w:t>
      </w:r>
      <w:r>
        <w:rPr>
          <w:rFonts w:ascii="Calibri" w:hAnsi="Calibri"/>
          <w:sz w:val="22"/>
          <w:szCs w:val="22"/>
        </w:rPr>
        <w:t>&lt;FIRST MONTH&gt;</w:t>
      </w:r>
      <w:r w:rsidRPr="003810EC">
        <w:rPr>
          <w:rFonts w:ascii="Calibri" w:hAnsi="Calibri"/>
          <w:sz w:val="22"/>
          <w:szCs w:val="22"/>
        </w:rPr>
        <w:t xml:space="preserve"> and ending in </w:t>
      </w:r>
      <w:r>
        <w:rPr>
          <w:rFonts w:ascii="Calibri" w:hAnsi="Calibri"/>
          <w:sz w:val="22"/>
          <w:szCs w:val="22"/>
        </w:rPr>
        <w:t>&lt;LAST MONTH&gt; &lt;YEAR&gt;</w:t>
      </w:r>
      <w:r w:rsidRPr="003810EC">
        <w:rPr>
          <w:rFonts w:ascii="Calibri" w:hAnsi="Calibri"/>
          <w:sz w:val="22"/>
          <w:szCs w:val="22"/>
        </w:rPr>
        <w:t>:</w:t>
      </w:r>
    </w:p>
    <w:p w:rsidR="00665246" w:rsidRPr="003810EC" w:rsidRDefault="00665246" w:rsidP="00665246">
      <w:pPr>
        <w:numPr>
          <w:ilvl w:val="0"/>
          <w:numId w:val="22"/>
        </w:numPr>
        <w:ind w:left="2160"/>
        <w:rPr>
          <w:rFonts w:ascii="Calibri" w:hAnsi="Calibri"/>
          <w:sz w:val="22"/>
          <w:szCs w:val="22"/>
        </w:rPr>
      </w:pPr>
      <w:r w:rsidRPr="003810EC">
        <w:rPr>
          <w:rFonts w:ascii="Calibri" w:hAnsi="Calibri"/>
          <w:sz w:val="22"/>
          <w:szCs w:val="22"/>
        </w:rPr>
        <w:t xml:space="preserve">Phase 1 –self-study; </w:t>
      </w:r>
      <w:r>
        <w:rPr>
          <w:rFonts w:ascii="Calibri" w:hAnsi="Calibri"/>
          <w:sz w:val="22"/>
          <w:szCs w:val="22"/>
        </w:rPr>
        <w:t>&lt;DATE RANGE&gt;</w:t>
      </w:r>
    </w:p>
    <w:p w:rsidR="00665246" w:rsidRPr="003810EC" w:rsidRDefault="00665246" w:rsidP="00665246">
      <w:pPr>
        <w:numPr>
          <w:ilvl w:val="0"/>
          <w:numId w:val="22"/>
        </w:numPr>
        <w:ind w:left="2160"/>
        <w:rPr>
          <w:rFonts w:ascii="Calibri" w:hAnsi="Calibri"/>
          <w:sz w:val="22"/>
          <w:szCs w:val="22"/>
        </w:rPr>
      </w:pPr>
      <w:r w:rsidRPr="003810EC">
        <w:rPr>
          <w:rFonts w:ascii="Calibri" w:hAnsi="Calibri"/>
          <w:sz w:val="22"/>
          <w:szCs w:val="22"/>
        </w:rPr>
        <w:t xml:space="preserve">Phase 2 – program review committee research and external reviewer visit; </w:t>
      </w:r>
      <w:r>
        <w:rPr>
          <w:rFonts w:ascii="Calibri" w:hAnsi="Calibri"/>
          <w:sz w:val="22"/>
          <w:szCs w:val="22"/>
        </w:rPr>
        <w:t>&lt;DATE RANGE&gt;</w:t>
      </w:r>
    </w:p>
    <w:p w:rsidR="00665246" w:rsidRPr="003810EC" w:rsidRDefault="00665246" w:rsidP="00665246">
      <w:pPr>
        <w:numPr>
          <w:ilvl w:val="0"/>
          <w:numId w:val="22"/>
        </w:numPr>
        <w:ind w:left="2160"/>
        <w:rPr>
          <w:rFonts w:ascii="Calibri" w:hAnsi="Calibri"/>
          <w:sz w:val="22"/>
          <w:szCs w:val="22"/>
        </w:rPr>
      </w:pPr>
      <w:r w:rsidRPr="003810EC">
        <w:rPr>
          <w:rFonts w:ascii="Calibri" w:hAnsi="Calibri"/>
          <w:sz w:val="22"/>
          <w:szCs w:val="22"/>
        </w:rPr>
        <w:t xml:space="preserve">Phase 3 – final report; </w:t>
      </w:r>
      <w:r>
        <w:rPr>
          <w:rFonts w:ascii="Calibri" w:hAnsi="Calibri"/>
          <w:sz w:val="22"/>
          <w:szCs w:val="22"/>
        </w:rPr>
        <w:t>&lt;DATE RANGE&gt;</w:t>
      </w:r>
    </w:p>
    <w:p w:rsidR="00665246" w:rsidRPr="003810EC" w:rsidRDefault="00665246" w:rsidP="00665246">
      <w:pPr>
        <w:ind w:left="1440"/>
        <w:rPr>
          <w:rFonts w:ascii="Calibri" w:hAnsi="Calibri"/>
          <w:sz w:val="22"/>
          <w:szCs w:val="22"/>
        </w:rPr>
      </w:pPr>
    </w:p>
    <w:p w:rsidR="00665246" w:rsidRPr="003810EC" w:rsidRDefault="00665246" w:rsidP="00665246">
      <w:pPr>
        <w:ind w:left="1440"/>
        <w:rPr>
          <w:rFonts w:ascii="Calibri" w:hAnsi="Calibri"/>
          <w:sz w:val="22"/>
          <w:szCs w:val="22"/>
        </w:rPr>
      </w:pPr>
      <w:r w:rsidRPr="003810EC">
        <w:rPr>
          <w:rFonts w:ascii="Calibri" w:hAnsi="Calibri"/>
          <w:sz w:val="22"/>
          <w:szCs w:val="22"/>
        </w:rPr>
        <w:t xml:space="preserve">The committee </w:t>
      </w:r>
      <w:r>
        <w:rPr>
          <w:rFonts w:ascii="Calibri" w:hAnsi="Calibri"/>
          <w:sz w:val="22"/>
          <w:szCs w:val="22"/>
        </w:rPr>
        <w:t>divided</w:t>
      </w:r>
      <w:r w:rsidRPr="003810EC">
        <w:rPr>
          <w:rFonts w:ascii="Calibri" w:hAnsi="Calibri"/>
          <w:sz w:val="22"/>
          <w:szCs w:val="22"/>
        </w:rPr>
        <w:t xml:space="preserve"> into </w:t>
      </w:r>
      <w:r>
        <w:rPr>
          <w:rFonts w:ascii="Calibri" w:hAnsi="Calibri"/>
          <w:sz w:val="22"/>
          <w:szCs w:val="22"/>
        </w:rPr>
        <w:t>&lt;NUMBER OF&gt;</w:t>
      </w:r>
      <w:r w:rsidRPr="003810EC">
        <w:rPr>
          <w:rFonts w:ascii="Calibri" w:hAnsi="Calibri"/>
          <w:sz w:val="22"/>
          <w:szCs w:val="22"/>
        </w:rPr>
        <w:t xml:space="preserve"> subcommittee</w:t>
      </w:r>
      <w:r>
        <w:rPr>
          <w:rFonts w:ascii="Calibri" w:hAnsi="Calibri"/>
          <w:sz w:val="22"/>
          <w:szCs w:val="22"/>
        </w:rPr>
        <w:t>s</w:t>
      </w:r>
      <w:r w:rsidRPr="003810EC">
        <w:rPr>
          <w:rFonts w:ascii="Calibri" w:hAnsi="Calibri"/>
          <w:sz w:val="22"/>
          <w:szCs w:val="22"/>
        </w:rPr>
        <w:t xml:space="preserve"> to examine portions of the operation from varying perspectives:</w:t>
      </w:r>
    </w:p>
    <w:p w:rsidR="00665246" w:rsidRPr="003810EC" w:rsidRDefault="00665246" w:rsidP="00665246">
      <w:pPr>
        <w:numPr>
          <w:ilvl w:val="0"/>
          <w:numId w:val="21"/>
        </w:numPr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&lt;SUB COMMITTEE NAME&gt;</w:t>
      </w:r>
    </w:p>
    <w:p w:rsidR="00665246" w:rsidRPr="003810EC" w:rsidRDefault="00665246" w:rsidP="00665246">
      <w:pPr>
        <w:numPr>
          <w:ilvl w:val="0"/>
          <w:numId w:val="21"/>
        </w:numPr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&lt;SUB COMMITTEE NAME&gt;</w:t>
      </w:r>
    </w:p>
    <w:p w:rsidR="00665246" w:rsidRPr="003810EC" w:rsidRDefault="00665246" w:rsidP="00665246">
      <w:pPr>
        <w:ind w:left="1440"/>
        <w:rPr>
          <w:rFonts w:ascii="Calibri" w:hAnsi="Calibri"/>
          <w:sz w:val="22"/>
          <w:szCs w:val="22"/>
        </w:rPr>
      </w:pPr>
    </w:p>
    <w:p w:rsidR="00665246" w:rsidRDefault="00665246" w:rsidP="00665246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(If an external reviewer is utilized)</w:t>
      </w:r>
    </w:p>
    <w:p w:rsidR="00665246" w:rsidRPr="003810EC" w:rsidRDefault="00665246" w:rsidP="00665246">
      <w:pPr>
        <w:ind w:left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&lt;EXTERNAL REVIEWER NAME&gt;, &lt;ER TITLE&gt;, &lt;ER OTHER INFO&gt; </w:t>
      </w:r>
      <w:r w:rsidRPr="003810EC">
        <w:rPr>
          <w:rFonts w:ascii="Calibri" w:hAnsi="Calibri"/>
          <w:sz w:val="22"/>
          <w:szCs w:val="22"/>
        </w:rPr>
        <w:t xml:space="preserve">conducted the external review. </w:t>
      </w:r>
    </w:p>
    <w:p w:rsidR="00665246" w:rsidRPr="008F4B67" w:rsidRDefault="00665246" w:rsidP="00665246">
      <w:pPr>
        <w:rPr>
          <w:rFonts w:ascii="Calibri" w:hAnsi="Calibri"/>
          <w:i/>
          <w:sz w:val="22"/>
          <w:szCs w:val="22"/>
        </w:rPr>
      </w:pPr>
    </w:p>
    <w:p w:rsidR="00665246" w:rsidRPr="00665246" w:rsidRDefault="008F4B67" w:rsidP="00665246">
      <w:pPr>
        <w:pStyle w:val="ListParagraph"/>
        <w:numPr>
          <w:ilvl w:val="0"/>
          <w:numId w:val="31"/>
        </w:numPr>
        <w:rPr>
          <w:rFonts w:ascii="Calibri" w:hAnsi="Calibri"/>
          <w:i/>
          <w:sz w:val="22"/>
          <w:szCs w:val="22"/>
        </w:rPr>
      </w:pPr>
      <w:r w:rsidRPr="00665246">
        <w:rPr>
          <w:rFonts w:ascii="Calibri" w:hAnsi="Calibri"/>
          <w:b/>
          <w:sz w:val="22"/>
          <w:szCs w:val="22"/>
        </w:rPr>
        <w:t>Findings</w:t>
      </w:r>
      <w:r w:rsidR="00665246" w:rsidRPr="00665246">
        <w:rPr>
          <w:rFonts w:ascii="Calibri" w:hAnsi="Calibri"/>
          <w:sz w:val="22"/>
          <w:szCs w:val="22"/>
        </w:rPr>
        <w:t xml:space="preserve"> - </w:t>
      </w:r>
      <w:r w:rsidR="00665246">
        <w:rPr>
          <w:rFonts w:ascii="Calibri" w:hAnsi="Calibri"/>
          <w:i/>
          <w:sz w:val="22"/>
          <w:szCs w:val="22"/>
        </w:rPr>
        <w:t>Highlight</w:t>
      </w:r>
      <w:r w:rsidR="00665246" w:rsidRPr="00665246">
        <w:rPr>
          <w:rFonts w:ascii="Calibri" w:hAnsi="Calibri"/>
          <w:i/>
          <w:sz w:val="22"/>
          <w:szCs w:val="22"/>
        </w:rPr>
        <w:t xml:space="preserve"> overlapping themes found in the self-study, subcommittee and external reviewer</w:t>
      </w:r>
      <w:r w:rsidR="00665246">
        <w:rPr>
          <w:rFonts w:ascii="Calibri" w:hAnsi="Calibri"/>
          <w:i/>
          <w:sz w:val="22"/>
          <w:szCs w:val="22"/>
        </w:rPr>
        <w:t xml:space="preserve"> reports</w:t>
      </w:r>
      <w:r w:rsidR="00665246" w:rsidRPr="00665246">
        <w:rPr>
          <w:rFonts w:ascii="Calibri" w:hAnsi="Calibri"/>
          <w:i/>
          <w:sz w:val="22"/>
          <w:szCs w:val="22"/>
        </w:rPr>
        <w:t>. Findings are relevant statements of apparent fact related to the study based on trends from research. They may reflect departmental strengths, departmental weaknesses, constituent perceptions, etc.</w:t>
      </w:r>
    </w:p>
    <w:p w:rsidR="00665246" w:rsidRPr="00665246" w:rsidRDefault="00665246" w:rsidP="00665246">
      <w:pPr>
        <w:rPr>
          <w:rFonts w:ascii="Calibri" w:hAnsi="Calibri"/>
          <w:sz w:val="22"/>
          <w:szCs w:val="22"/>
        </w:rPr>
      </w:pPr>
    </w:p>
    <w:p w:rsidR="00665246" w:rsidRPr="00665246" w:rsidRDefault="008F4B67" w:rsidP="00665246">
      <w:pPr>
        <w:pStyle w:val="ListParagraph"/>
        <w:numPr>
          <w:ilvl w:val="0"/>
          <w:numId w:val="31"/>
        </w:numPr>
        <w:rPr>
          <w:rFonts w:ascii="Calibri" w:hAnsi="Calibri"/>
          <w:i/>
          <w:sz w:val="22"/>
          <w:szCs w:val="22"/>
        </w:rPr>
      </w:pPr>
      <w:r w:rsidRPr="00665246">
        <w:rPr>
          <w:rFonts w:ascii="Calibri" w:hAnsi="Calibri"/>
          <w:b/>
          <w:sz w:val="22"/>
          <w:szCs w:val="22"/>
        </w:rPr>
        <w:t>Recommendations</w:t>
      </w:r>
      <w:r w:rsidR="00665246" w:rsidRPr="00665246">
        <w:rPr>
          <w:rFonts w:ascii="Calibri" w:hAnsi="Calibri"/>
          <w:sz w:val="22"/>
          <w:szCs w:val="22"/>
        </w:rPr>
        <w:t xml:space="preserve"> - </w:t>
      </w:r>
      <w:r w:rsidR="00665246" w:rsidRPr="00665246">
        <w:rPr>
          <w:rFonts w:ascii="Calibri" w:hAnsi="Calibri"/>
          <w:i/>
          <w:sz w:val="22"/>
          <w:szCs w:val="22"/>
        </w:rPr>
        <w:t>In this section the chair(s) will provide a list of recommendations. Recommendations are based on findings. They should be Specific, Measurable, Attainable, Relevant, and Time-Framed.</w:t>
      </w:r>
    </w:p>
    <w:p w:rsidR="008F4B67" w:rsidRPr="00665246" w:rsidRDefault="008F4B67" w:rsidP="00665246">
      <w:pPr>
        <w:rPr>
          <w:rFonts w:ascii="Calibri" w:hAnsi="Calibri"/>
          <w:sz w:val="22"/>
          <w:szCs w:val="22"/>
        </w:rPr>
      </w:pPr>
    </w:p>
    <w:p w:rsidR="008F4B67" w:rsidRDefault="008F4B67" w:rsidP="000C22A3">
      <w:pPr>
        <w:rPr>
          <w:rFonts w:ascii="Calibri" w:hAnsi="Calibri"/>
          <w:b/>
          <w:sz w:val="22"/>
          <w:szCs w:val="22"/>
          <w:u w:val="single"/>
        </w:rPr>
      </w:pPr>
    </w:p>
    <w:p w:rsidR="00DC0C35" w:rsidRDefault="00DC0C35" w:rsidP="00DC0C35">
      <w:pPr>
        <w:rPr>
          <w:rFonts w:ascii="Calibri" w:hAnsi="Calibri"/>
          <w:sz w:val="22"/>
          <w:szCs w:val="22"/>
        </w:rPr>
      </w:pPr>
    </w:p>
    <w:p w:rsidR="00516A1C" w:rsidRPr="00516A1C" w:rsidRDefault="00516A1C" w:rsidP="00516A1C">
      <w:pPr>
        <w:rPr>
          <w:rFonts w:asciiTheme="minorHAnsi" w:hAnsiTheme="minorHAnsi"/>
          <w:sz w:val="22"/>
          <w:szCs w:val="22"/>
          <w:lang w:val="en"/>
        </w:rPr>
      </w:pPr>
      <w:r>
        <w:rPr>
          <w:rFonts w:asciiTheme="minorHAnsi" w:hAnsiTheme="minorHAnsi"/>
          <w:b/>
          <w:bCs/>
          <w:sz w:val="22"/>
          <w:szCs w:val="22"/>
          <w:lang w:val="en"/>
        </w:rPr>
        <w:t>PRIMARY REPORT</w:t>
      </w:r>
    </w:p>
    <w:p w:rsidR="00516A1C" w:rsidRDefault="00516A1C" w:rsidP="00516A1C">
      <w:pPr>
        <w:numPr>
          <w:ilvl w:val="0"/>
          <w:numId w:val="28"/>
        </w:numPr>
        <w:rPr>
          <w:rFonts w:asciiTheme="minorHAnsi" w:hAnsiTheme="minorHAnsi"/>
          <w:sz w:val="22"/>
          <w:szCs w:val="22"/>
          <w:lang w:val="en"/>
        </w:rPr>
      </w:pPr>
      <w:r w:rsidRPr="00516A1C">
        <w:rPr>
          <w:rFonts w:asciiTheme="minorHAnsi" w:hAnsiTheme="minorHAnsi"/>
          <w:sz w:val="22"/>
          <w:szCs w:val="22"/>
          <w:lang w:val="en"/>
        </w:rPr>
        <w:t>Introductory Statement</w:t>
      </w:r>
    </w:p>
    <w:p w:rsidR="00665246" w:rsidRPr="00516A1C" w:rsidRDefault="00665246" w:rsidP="00665246">
      <w:pPr>
        <w:ind w:left="720"/>
        <w:rPr>
          <w:rFonts w:asciiTheme="minorHAnsi" w:hAnsiTheme="minorHAnsi"/>
          <w:sz w:val="22"/>
          <w:szCs w:val="22"/>
          <w:lang w:val="en"/>
        </w:rPr>
      </w:pPr>
    </w:p>
    <w:p w:rsidR="00516A1C" w:rsidRPr="00516A1C" w:rsidRDefault="00516A1C" w:rsidP="00516A1C">
      <w:pPr>
        <w:numPr>
          <w:ilvl w:val="0"/>
          <w:numId w:val="28"/>
        </w:numPr>
        <w:rPr>
          <w:rFonts w:asciiTheme="minorHAnsi" w:hAnsiTheme="minorHAnsi"/>
          <w:sz w:val="22"/>
          <w:szCs w:val="22"/>
          <w:lang w:val="en"/>
        </w:rPr>
      </w:pPr>
      <w:r w:rsidRPr="00516A1C">
        <w:rPr>
          <w:rFonts w:asciiTheme="minorHAnsi" w:hAnsiTheme="minorHAnsi"/>
          <w:sz w:val="22"/>
          <w:szCs w:val="22"/>
          <w:lang w:val="en"/>
        </w:rPr>
        <w:t xml:space="preserve">Overview </w:t>
      </w:r>
    </w:p>
    <w:p w:rsidR="00516A1C" w:rsidRPr="00516A1C" w:rsidRDefault="00516A1C" w:rsidP="00516A1C">
      <w:pPr>
        <w:numPr>
          <w:ilvl w:val="1"/>
          <w:numId w:val="28"/>
        </w:numPr>
        <w:rPr>
          <w:rFonts w:asciiTheme="minorHAnsi" w:hAnsiTheme="minorHAnsi"/>
          <w:sz w:val="22"/>
          <w:szCs w:val="22"/>
          <w:lang w:val="en"/>
        </w:rPr>
      </w:pPr>
      <w:r w:rsidRPr="00516A1C">
        <w:rPr>
          <w:rFonts w:asciiTheme="minorHAnsi" w:hAnsiTheme="minorHAnsi"/>
          <w:sz w:val="22"/>
          <w:szCs w:val="22"/>
          <w:lang w:val="en"/>
        </w:rPr>
        <w:t>Detailed description of Program Review</w:t>
      </w:r>
    </w:p>
    <w:p w:rsidR="00516A1C" w:rsidRPr="00516A1C" w:rsidRDefault="00516A1C" w:rsidP="00516A1C">
      <w:pPr>
        <w:numPr>
          <w:ilvl w:val="1"/>
          <w:numId w:val="28"/>
        </w:numPr>
        <w:rPr>
          <w:rFonts w:asciiTheme="minorHAnsi" w:hAnsiTheme="minorHAnsi"/>
          <w:sz w:val="22"/>
          <w:szCs w:val="22"/>
          <w:lang w:val="en"/>
        </w:rPr>
      </w:pPr>
      <w:r w:rsidRPr="00516A1C">
        <w:rPr>
          <w:rFonts w:asciiTheme="minorHAnsi" w:hAnsiTheme="minorHAnsi"/>
          <w:sz w:val="22"/>
          <w:szCs w:val="22"/>
          <w:lang w:val="en"/>
        </w:rPr>
        <w:t>Mission, vision, values of unit from Self-Study Binder</w:t>
      </w:r>
    </w:p>
    <w:p w:rsidR="00516A1C" w:rsidRPr="00516A1C" w:rsidRDefault="00516A1C" w:rsidP="00516A1C">
      <w:pPr>
        <w:numPr>
          <w:ilvl w:val="1"/>
          <w:numId w:val="28"/>
        </w:numPr>
        <w:rPr>
          <w:rFonts w:asciiTheme="minorHAnsi" w:hAnsiTheme="minorHAnsi"/>
          <w:sz w:val="22"/>
          <w:szCs w:val="22"/>
          <w:lang w:val="en"/>
        </w:rPr>
      </w:pPr>
      <w:r w:rsidRPr="00516A1C">
        <w:rPr>
          <w:rFonts w:asciiTheme="minorHAnsi" w:hAnsiTheme="minorHAnsi"/>
          <w:sz w:val="22"/>
          <w:szCs w:val="22"/>
          <w:lang w:val="en"/>
        </w:rPr>
        <w:t>Key elements of SWOT analysis from Self-Study Binder</w:t>
      </w:r>
    </w:p>
    <w:p w:rsidR="00665246" w:rsidRDefault="00665246" w:rsidP="00665246">
      <w:pPr>
        <w:ind w:left="720"/>
        <w:rPr>
          <w:rFonts w:asciiTheme="minorHAnsi" w:hAnsiTheme="minorHAnsi"/>
          <w:sz w:val="22"/>
          <w:szCs w:val="22"/>
          <w:lang w:val="en"/>
        </w:rPr>
      </w:pPr>
    </w:p>
    <w:p w:rsidR="00516A1C" w:rsidRDefault="00516A1C" w:rsidP="00516A1C">
      <w:pPr>
        <w:numPr>
          <w:ilvl w:val="0"/>
          <w:numId w:val="28"/>
        </w:numPr>
        <w:rPr>
          <w:rFonts w:asciiTheme="minorHAnsi" w:hAnsiTheme="minorHAnsi"/>
          <w:sz w:val="22"/>
          <w:szCs w:val="22"/>
          <w:lang w:val="en"/>
        </w:rPr>
      </w:pPr>
      <w:r w:rsidRPr="00516A1C">
        <w:rPr>
          <w:rFonts w:asciiTheme="minorHAnsi" w:hAnsiTheme="minorHAnsi"/>
          <w:sz w:val="22"/>
          <w:szCs w:val="22"/>
          <w:lang w:val="en"/>
        </w:rPr>
        <w:t>Program Review Committee (Name, department, committee role, subcommittee responsibility, etc.)</w:t>
      </w:r>
    </w:p>
    <w:p w:rsidR="00665246" w:rsidRPr="00516A1C" w:rsidRDefault="00665246" w:rsidP="00665246">
      <w:pPr>
        <w:ind w:left="720"/>
        <w:rPr>
          <w:rFonts w:asciiTheme="minorHAnsi" w:hAnsiTheme="minorHAnsi"/>
          <w:sz w:val="22"/>
          <w:szCs w:val="22"/>
          <w:lang w:val="en"/>
        </w:rPr>
      </w:pPr>
    </w:p>
    <w:p w:rsidR="00516A1C" w:rsidRDefault="00516A1C" w:rsidP="00516A1C">
      <w:pPr>
        <w:numPr>
          <w:ilvl w:val="0"/>
          <w:numId w:val="28"/>
        </w:numPr>
        <w:rPr>
          <w:rFonts w:asciiTheme="minorHAnsi" w:hAnsiTheme="minorHAnsi"/>
          <w:sz w:val="22"/>
          <w:szCs w:val="22"/>
          <w:lang w:val="en"/>
        </w:rPr>
      </w:pPr>
      <w:r>
        <w:rPr>
          <w:rFonts w:asciiTheme="minorHAnsi" w:hAnsiTheme="minorHAnsi"/>
          <w:sz w:val="22"/>
          <w:szCs w:val="22"/>
          <w:lang w:val="en"/>
        </w:rPr>
        <w:t>Description and scope of subcommittees</w:t>
      </w:r>
    </w:p>
    <w:p w:rsidR="00665246" w:rsidRDefault="00665246" w:rsidP="00665246">
      <w:pPr>
        <w:rPr>
          <w:rFonts w:asciiTheme="minorHAnsi" w:hAnsiTheme="minorHAnsi"/>
          <w:sz w:val="22"/>
          <w:szCs w:val="22"/>
          <w:lang w:val="en"/>
        </w:rPr>
      </w:pPr>
    </w:p>
    <w:p w:rsidR="00516A1C" w:rsidRDefault="00516A1C" w:rsidP="00516A1C">
      <w:pPr>
        <w:numPr>
          <w:ilvl w:val="0"/>
          <w:numId w:val="28"/>
        </w:numPr>
        <w:rPr>
          <w:rFonts w:asciiTheme="minorHAnsi" w:hAnsiTheme="minorHAnsi"/>
          <w:sz w:val="22"/>
          <w:szCs w:val="22"/>
          <w:lang w:val="en"/>
        </w:rPr>
      </w:pPr>
      <w:r w:rsidRPr="00516A1C">
        <w:rPr>
          <w:rFonts w:asciiTheme="minorHAnsi" w:hAnsiTheme="minorHAnsi"/>
          <w:sz w:val="22"/>
          <w:szCs w:val="22"/>
          <w:lang w:val="en"/>
        </w:rPr>
        <w:t xml:space="preserve">Research </w:t>
      </w:r>
      <w:r>
        <w:rPr>
          <w:rFonts w:asciiTheme="minorHAnsi" w:hAnsiTheme="minorHAnsi"/>
          <w:sz w:val="22"/>
          <w:szCs w:val="22"/>
          <w:lang w:val="en"/>
        </w:rPr>
        <w:t>methodology for each subcommittee</w:t>
      </w:r>
    </w:p>
    <w:p w:rsidR="00665246" w:rsidRPr="00516A1C" w:rsidRDefault="00665246" w:rsidP="00665246">
      <w:pPr>
        <w:rPr>
          <w:rFonts w:asciiTheme="minorHAnsi" w:hAnsiTheme="minorHAnsi"/>
          <w:sz w:val="22"/>
          <w:szCs w:val="22"/>
          <w:lang w:val="en"/>
        </w:rPr>
      </w:pPr>
    </w:p>
    <w:p w:rsidR="00516A1C" w:rsidRDefault="00516A1C" w:rsidP="005B1C63">
      <w:pPr>
        <w:numPr>
          <w:ilvl w:val="0"/>
          <w:numId w:val="28"/>
        </w:numPr>
        <w:rPr>
          <w:rFonts w:asciiTheme="minorHAnsi" w:hAnsiTheme="minorHAnsi"/>
          <w:sz w:val="22"/>
          <w:szCs w:val="22"/>
          <w:lang w:val="en"/>
        </w:rPr>
      </w:pPr>
      <w:r w:rsidRPr="00516A1C">
        <w:rPr>
          <w:rFonts w:asciiTheme="minorHAnsi" w:hAnsiTheme="minorHAnsi"/>
          <w:sz w:val="22"/>
          <w:szCs w:val="22"/>
          <w:lang w:val="en"/>
        </w:rPr>
        <w:t xml:space="preserve">Overall findings with descriptive statements. </w:t>
      </w:r>
    </w:p>
    <w:p w:rsidR="00665246" w:rsidRDefault="00665246" w:rsidP="00665246">
      <w:pPr>
        <w:rPr>
          <w:rFonts w:asciiTheme="minorHAnsi" w:hAnsiTheme="minorHAnsi"/>
          <w:sz w:val="22"/>
          <w:szCs w:val="22"/>
          <w:lang w:val="en"/>
        </w:rPr>
      </w:pPr>
    </w:p>
    <w:p w:rsidR="00516A1C" w:rsidRDefault="00516A1C" w:rsidP="00516A1C">
      <w:pPr>
        <w:numPr>
          <w:ilvl w:val="0"/>
          <w:numId w:val="28"/>
        </w:numPr>
        <w:rPr>
          <w:rFonts w:asciiTheme="minorHAnsi" w:hAnsiTheme="minorHAnsi"/>
          <w:sz w:val="22"/>
          <w:szCs w:val="22"/>
          <w:lang w:val="en"/>
        </w:rPr>
      </w:pPr>
      <w:r w:rsidRPr="00516A1C">
        <w:rPr>
          <w:rFonts w:asciiTheme="minorHAnsi" w:hAnsiTheme="minorHAnsi"/>
          <w:sz w:val="22"/>
          <w:szCs w:val="22"/>
          <w:lang w:val="en"/>
        </w:rPr>
        <w:t>Recommendations and site additional evidence to support each</w:t>
      </w:r>
      <w:r>
        <w:rPr>
          <w:rFonts w:asciiTheme="minorHAnsi" w:hAnsiTheme="minorHAnsi"/>
          <w:sz w:val="22"/>
          <w:szCs w:val="22"/>
          <w:lang w:val="en"/>
        </w:rPr>
        <w:t xml:space="preserve">. In consultation with the department director and unit AVP, the recommendations can be listed in no specific order or categorized into “primary” and “secondary”. </w:t>
      </w:r>
    </w:p>
    <w:p w:rsidR="00665246" w:rsidRDefault="00665246" w:rsidP="00665246">
      <w:pPr>
        <w:rPr>
          <w:rFonts w:asciiTheme="minorHAnsi" w:hAnsiTheme="minorHAnsi"/>
          <w:sz w:val="22"/>
          <w:szCs w:val="22"/>
          <w:lang w:val="en"/>
        </w:rPr>
      </w:pPr>
    </w:p>
    <w:p w:rsidR="00516A1C" w:rsidRDefault="00516A1C" w:rsidP="005B1C63">
      <w:pPr>
        <w:numPr>
          <w:ilvl w:val="0"/>
          <w:numId w:val="28"/>
        </w:numPr>
        <w:rPr>
          <w:rFonts w:asciiTheme="minorHAnsi" w:hAnsiTheme="minorHAnsi"/>
          <w:sz w:val="22"/>
          <w:szCs w:val="22"/>
          <w:lang w:val="en"/>
        </w:rPr>
      </w:pPr>
      <w:r>
        <w:rPr>
          <w:rFonts w:asciiTheme="minorHAnsi" w:hAnsiTheme="minorHAnsi"/>
          <w:sz w:val="22"/>
          <w:szCs w:val="22"/>
          <w:lang w:val="en"/>
        </w:rPr>
        <w:t>Closing comments section can be used to note dissenting opinions of the director and/or unit AVP.</w:t>
      </w:r>
    </w:p>
    <w:p w:rsidR="00665246" w:rsidRPr="00516A1C" w:rsidRDefault="00665246" w:rsidP="00665246">
      <w:pPr>
        <w:rPr>
          <w:rFonts w:asciiTheme="minorHAnsi" w:hAnsiTheme="minorHAnsi"/>
          <w:sz w:val="22"/>
          <w:szCs w:val="22"/>
          <w:lang w:val="en"/>
        </w:rPr>
      </w:pPr>
    </w:p>
    <w:p w:rsidR="00516A1C" w:rsidRPr="00516A1C" w:rsidRDefault="00516A1C" w:rsidP="00516A1C">
      <w:pPr>
        <w:numPr>
          <w:ilvl w:val="0"/>
          <w:numId w:val="28"/>
        </w:numPr>
        <w:rPr>
          <w:rFonts w:asciiTheme="minorHAnsi" w:hAnsiTheme="minorHAnsi"/>
          <w:sz w:val="22"/>
          <w:szCs w:val="22"/>
          <w:lang w:val="en"/>
        </w:rPr>
      </w:pPr>
      <w:r w:rsidRPr="00516A1C">
        <w:rPr>
          <w:rFonts w:asciiTheme="minorHAnsi" w:hAnsiTheme="minorHAnsi"/>
          <w:sz w:val="22"/>
          <w:szCs w:val="22"/>
          <w:lang w:val="en"/>
        </w:rPr>
        <w:t xml:space="preserve">Appendices </w:t>
      </w:r>
    </w:p>
    <w:p w:rsidR="00516A1C" w:rsidRDefault="00665246" w:rsidP="00516A1C">
      <w:pPr>
        <w:numPr>
          <w:ilvl w:val="1"/>
          <w:numId w:val="28"/>
        </w:numPr>
        <w:rPr>
          <w:rFonts w:asciiTheme="minorHAnsi" w:hAnsiTheme="minorHAnsi"/>
          <w:sz w:val="22"/>
          <w:szCs w:val="22"/>
          <w:lang w:val="en"/>
        </w:rPr>
      </w:pPr>
      <w:r>
        <w:rPr>
          <w:rFonts w:asciiTheme="minorHAnsi" w:hAnsiTheme="minorHAnsi"/>
          <w:sz w:val="22"/>
          <w:szCs w:val="22"/>
          <w:lang w:val="en"/>
        </w:rPr>
        <w:t>Self-study</w:t>
      </w:r>
    </w:p>
    <w:p w:rsidR="00516A1C" w:rsidRPr="00516A1C" w:rsidRDefault="00516A1C" w:rsidP="00516A1C">
      <w:pPr>
        <w:numPr>
          <w:ilvl w:val="1"/>
          <w:numId w:val="28"/>
        </w:numPr>
        <w:rPr>
          <w:rFonts w:asciiTheme="minorHAnsi" w:hAnsiTheme="minorHAnsi"/>
          <w:sz w:val="22"/>
          <w:szCs w:val="22"/>
          <w:lang w:val="en"/>
        </w:rPr>
      </w:pPr>
      <w:r w:rsidRPr="00516A1C">
        <w:rPr>
          <w:rFonts w:asciiTheme="minorHAnsi" w:hAnsiTheme="minorHAnsi"/>
          <w:sz w:val="22"/>
          <w:szCs w:val="22"/>
          <w:lang w:val="en"/>
        </w:rPr>
        <w:t>External Reviewer’s Report (if applicable)</w:t>
      </w:r>
    </w:p>
    <w:p w:rsidR="00516A1C" w:rsidRPr="00516A1C" w:rsidRDefault="00516A1C" w:rsidP="00516A1C">
      <w:pPr>
        <w:numPr>
          <w:ilvl w:val="1"/>
          <w:numId w:val="28"/>
        </w:numPr>
        <w:rPr>
          <w:rFonts w:asciiTheme="minorHAnsi" w:hAnsiTheme="minorHAnsi"/>
          <w:sz w:val="22"/>
          <w:szCs w:val="22"/>
          <w:lang w:val="en"/>
        </w:rPr>
      </w:pPr>
      <w:r w:rsidRPr="00516A1C">
        <w:rPr>
          <w:rFonts w:asciiTheme="minorHAnsi" w:hAnsiTheme="minorHAnsi"/>
          <w:sz w:val="22"/>
          <w:szCs w:val="22"/>
          <w:lang w:val="en"/>
        </w:rPr>
        <w:t>Findings/Recommendations from Subcommittee #1</w:t>
      </w:r>
    </w:p>
    <w:p w:rsidR="00516A1C" w:rsidRPr="00516A1C" w:rsidRDefault="00516A1C" w:rsidP="00516A1C">
      <w:pPr>
        <w:numPr>
          <w:ilvl w:val="1"/>
          <w:numId w:val="28"/>
        </w:numPr>
        <w:rPr>
          <w:rFonts w:asciiTheme="minorHAnsi" w:hAnsiTheme="minorHAnsi"/>
          <w:sz w:val="22"/>
          <w:szCs w:val="22"/>
          <w:lang w:val="en"/>
        </w:rPr>
      </w:pPr>
      <w:r w:rsidRPr="00516A1C">
        <w:rPr>
          <w:rFonts w:asciiTheme="minorHAnsi" w:hAnsiTheme="minorHAnsi"/>
          <w:sz w:val="22"/>
          <w:szCs w:val="22"/>
          <w:lang w:val="en"/>
        </w:rPr>
        <w:t>Findings/Recommendations from Subcommittee #2</w:t>
      </w:r>
    </w:p>
    <w:p w:rsidR="00516A1C" w:rsidRPr="00516A1C" w:rsidRDefault="00516A1C" w:rsidP="00516A1C">
      <w:pPr>
        <w:numPr>
          <w:ilvl w:val="1"/>
          <w:numId w:val="28"/>
        </w:numPr>
        <w:rPr>
          <w:rFonts w:asciiTheme="minorHAnsi" w:hAnsiTheme="minorHAnsi"/>
          <w:sz w:val="22"/>
          <w:szCs w:val="22"/>
          <w:lang w:val="en"/>
        </w:rPr>
      </w:pPr>
      <w:r w:rsidRPr="00516A1C">
        <w:rPr>
          <w:rFonts w:asciiTheme="minorHAnsi" w:hAnsiTheme="minorHAnsi"/>
          <w:sz w:val="22"/>
          <w:szCs w:val="22"/>
          <w:lang w:val="en"/>
        </w:rPr>
        <w:t>Findings/Recommendations from Subcommittee #3</w:t>
      </w:r>
    </w:p>
    <w:p w:rsidR="00516A1C" w:rsidRPr="00516A1C" w:rsidRDefault="00516A1C" w:rsidP="00516A1C">
      <w:pPr>
        <w:numPr>
          <w:ilvl w:val="1"/>
          <w:numId w:val="28"/>
        </w:numPr>
        <w:rPr>
          <w:rFonts w:asciiTheme="minorHAnsi" w:hAnsiTheme="minorHAnsi"/>
          <w:sz w:val="22"/>
          <w:szCs w:val="22"/>
          <w:lang w:val="en"/>
        </w:rPr>
      </w:pPr>
      <w:r>
        <w:rPr>
          <w:rFonts w:asciiTheme="minorHAnsi" w:hAnsiTheme="minorHAnsi"/>
          <w:sz w:val="22"/>
          <w:szCs w:val="22"/>
          <w:lang w:val="en"/>
        </w:rPr>
        <w:t>Additional information provid</w:t>
      </w:r>
      <w:r w:rsidR="00665246">
        <w:rPr>
          <w:rFonts w:asciiTheme="minorHAnsi" w:hAnsiTheme="minorHAnsi"/>
          <w:sz w:val="22"/>
          <w:szCs w:val="22"/>
          <w:lang w:val="en"/>
        </w:rPr>
        <w:t>ed by the department director or</w:t>
      </w:r>
      <w:r>
        <w:rPr>
          <w:rFonts w:asciiTheme="minorHAnsi" w:hAnsiTheme="minorHAnsi"/>
          <w:sz w:val="22"/>
          <w:szCs w:val="22"/>
          <w:lang w:val="en"/>
        </w:rPr>
        <w:t xml:space="preserve"> subcommittees</w:t>
      </w:r>
    </w:p>
    <w:p w:rsidR="00DF6E2B" w:rsidRDefault="00DF6E2B" w:rsidP="00E125B9">
      <w:pPr>
        <w:rPr>
          <w:rFonts w:ascii="Calibri" w:hAnsi="Calibri"/>
          <w:sz w:val="22"/>
          <w:szCs w:val="22"/>
        </w:rPr>
      </w:pPr>
    </w:p>
    <w:p w:rsidR="001E117F" w:rsidRPr="003810EC" w:rsidRDefault="001E117F" w:rsidP="00E125B9">
      <w:pPr>
        <w:rPr>
          <w:rFonts w:ascii="Calibri" w:hAnsi="Calibri"/>
          <w:sz w:val="22"/>
          <w:szCs w:val="22"/>
        </w:rPr>
      </w:pPr>
    </w:p>
    <w:p w:rsidR="006E3FAF" w:rsidRDefault="006E3FAF" w:rsidP="006E3FAF">
      <w:pPr>
        <w:rPr>
          <w:rFonts w:ascii="Calibri" w:hAnsi="Calibri"/>
          <w:sz w:val="22"/>
          <w:szCs w:val="22"/>
        </w:rPr>
      </w:pPr>
    </w:p>
    <w:p w:rsidR="006E3FAF" w:rsidRDefault="006E3FAF" w:rsidP="006E3FAF">
      <w:pPr>
        <w:rPr>
          <w:rFonts w:ascii="Calibri" w:hAnsi="Calibri"/>
          <w:sz w:val="22"/>
          <w:szCs w:val="22"/>
        </w:rPr>
      </w:pPr>
    </w:p>
    <w:p w:rsidR="009434DE" w:rsidRDefault="009434DE" w:rsidP="006E3FAF">
      <w:pPr>
        <w:rPr>
          <w:rFonts w:ascii="Calibri" w:hAnsi="Calibri"/>
          <w:sz w:val="22"/>
          <w:szCs w:val="22"/>
        </w:rPr>
      </w:pPr>
    </w:p>
    <w:sectPr w:rsidR="009434DE">
      <w:footerReference w:type="default" r:id="rId8"/>
      <w:endnotePr>
        <w:numFmt w:val="decimal"/>
      </w:endnotePr>
      <w:pgSz w:w="12240" w:h="15840"/>
      <w:pgMar w:top="1008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7CE" w:rsidRDefault="007F37CE">
      <w:r>
        <w:separator/>
      </w:r>
    </w:p>
  </w:endnote>
  <w:endnote w:type="continuationSeparator" w:id="0">
    <w:p w:rsidR="007F37CE" w:rsidRDefault="007F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raversGothic B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78D" w:rsidRDefault="00665246">
    <w:pPr>
      <w:pStyle w:val="Footer"/>
      <w:jc w:val="right"/>
    </w:pPr>
    <w:r>
      <w:t>&lt;CHAIR EMAIL ADDRESS&gt;</w:t>
    </w:r>
    <w:r w:rsidR="00A4178D">
      <w:t xml:space="preserve">                                                  </w:t>
    </w:r>
    <w:r w:rsidR="00377D6C">
      <w:t xml:space="preserve">                               </w:t>
    </w:r>
    <w:r w:rsidR="00A4178D">
      <w:t xml:space="preserve">        </w:t>
    </w:r>
    <w:r w:rsidR="00377D6C">
      <w:t xml:space="preserve">                              </w:t>
    </w:r>
    <w:r w:rsidR="00A4178D">
      <w:t xml:space="preserve">Page </w:t>
    </w:r>
    <w:r w:rsidR="00A4178D">
      <w:rPr>
        <w:b/>
        <w:bCs/>
        <w:sz w:val="24"/>
        <w:szCs w:val="24"/>
      </w:rPr>
      <w:fldChar w:fldCharType="begin"/>
    </w:r>
    <w:r w:rsidR="00A4178D">
      <w:rPr>
        <w:b/>
        <w:bCs/>
      </w:rPr>
      <w:instrText xml:space="preserve"> PAGE </w:instrText>
    </w:r>
    <w:r w:rsidR="00A4178D">
      <w:rPr>
        <w:b/>
        <w:bCs/>
        <w:sz w:val="24"/>
        <w:szCs w:val="24"/>
      </w:rPr>
      <w:fldChar w:fldCharType="separate"/>
    </w:r>
    <w:r w:rsidR="00377D6C">
      <w:rPr>
        <w:b/>
        <w:bCs/>
        <w:noProof/>
      </w:rPr>
      <w:t>1</w:t>
    </w:r>
    <w:r w:rsidR="00A4178D">
      <w:rPr>
        <w:b/>
        <w:bCs/>
        <w:sz w:val="24"/>
        <w:szCs w:val="24"/>
      </w:rPr>
      <w:fldChar w:fldCharType="end"/>
    </w:r>
    <w:r w:rsidR="00A4178D">
      <w:t xml:space="preserve"> of </w:t>
    </w:r>
    <w:r w:rsidR="00A4178D">
      <w:rPr>
        <w:b/>
        <w:bCs/>
        <w:sz w:val="24"/>
        <w:szCs w:val="24"/>
      </w:rPr>
      <w:fldChar w:fldCharType="begin"/>
    </w:r>
    <w:r w:rsidR="00A4178D">
      <w:rPr>
        <w:b/>
        <w:bCs/>
      </w:rPr>
      <w:instrText xml:space="preserve"> NUMPAGES  </w:instrText>
    </w:r>
    <w:r w:rsidR="00A4178D">
      <w:rPr>
        <w:b/>
        <w:bCs/>
        <w:sz w:val="24"/>
        <w:szCs w:val="24"/>
      </w:rPr>
      <w:fldChar w:fldCharType="separate"/>
    </w:r>
    <w:r w:rsidR="00377D6C">
      <w:rPr>
        <w:b/>
        <w:bCs/>
        <w:noProof/>
      </w:rPr>
      <w:t>2</w:t>
    </w:r>
    <w:r w:rsidR="00A4178D">
      <w:rPr>
        <w:b/>
        <w:bCs/>
        <w:sz w:val="24"/>
        <w:szCs w:val="24"/>
      </w:rPr>
      <w:fldChar w:fldCharType="end"/>
    </w:r>
  </w:p>
  <w:p w:rsidR="00EB7584" w:rsidRDefault="00EB7584" w:rsidP="00A4178D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7CE" w:rsidRDefault="007F37CE">
      <w:r>
        <w:separator/>
      </w:r>
    </w:p>
  </w:footnote>
  <w:footnote w:type="continuationSeparator" w:id="0">
    <w:p w:rsidR="007F37CE" w:rsidRDefault="007F3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1A7A"/>
    <w:multiLevelType w:val="hybridMultilevel"/>
    <w:tmpl w:val="BF0CC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4C80"/>
    <w:multiLevelType w:val="hybridMultilevel"/>
    <w:tmpl w:val="2CA66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165F47"/>
    <w:multiLevelType w:val="hybridMultilevel"/>
    <w:tmpl w:val="E034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B2254"/>
    <w:multiLevelType w:val="hybridMultilevel"/>
    <w:tmpl w:val="51A8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93476"/>
    <w:multiLevelType w:val="hybridMultilevel"/>
    <w:tmpl w:val="C5B0A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A1841"/>
    <w:multiLevelType w:val="hybridMultilevel"/>
    <w:tmpl w:val="0A36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C3416E"/>
    <w:multiLevelType w:val="hybridMultilevel"/>
    <w:tmpl w:val="CE50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21901"/>
    <w:multiLevelType w:val="hybridMultilevel"/>
    <w:tmpl w:val="CAF24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F478A"/>
    <w:multiLevelType w:val="hybridMultilevel"/>
    <w:tmpl w:val="878C7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A2724D"/>
    <w:multiLevelType w:val="hybridMultilevel"/>
    <w:tmpl w:val="916C8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F5724"/>
    <w:multiLevelType w:val="hybridMultilevel"/>
    <w:tmpl w:val="8772B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31186"/>
    <w:multiLevelType w:val="hybridMultilevel"/>
    <w:tmpl w:val="FF3C3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82995"/>
    <w:multiLevelType w:val="hybridMultilevel"/>
    <w:tmpl w:val="9ACE7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E7366B"/>
    <w:multiLevelType w:val="hybridMultilevel"/>
    <w:tmpl w:val="B2C24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6701C9"/>
    <w:multiLevelType w:val="hybridMultilevel"/>
    <w:tmpl w:val="48845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0F1A49"/>
    <w:multiLevelType w:val="hybridMultilevel"/>
    <w:tmpl w:val="31AC1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2711F"/>
    <w:multiLevelType w:val="hybridMultilevel"/>
    <w:tmpl w:val="0B04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D2DF7"/>
    <w:multiLevelType w:val="hybridMultilevel"/>
    <w:tmpl w:val="15A0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92844"/>
    <w:multiLevelType w:val="hybridMultilevel"/>
    <w:tmpl w:val="CA768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95333C"/>
    <w:multiLevelType w:val="hybridMultilevel"/>
    <w:tmpl w:val="9822D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3112A3"/>
    <w:multiLevelType w:val="hybridMultilevel"/>
    <w:tmpl w:val="45A4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77EC0"/>
    <w:multiLevelType w:val="hybridMultilevel"/>
    <w:tmpl w:val="E020C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383A4B"/>
    <w:multiLevelType w:val="hybridMultilevel"/>
    <w:tmpl w:val="3866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03175"/>
    <w:multiLevelType w:val="hybridMultilevel"/>
    <w:tmpl w:val="079C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90220"/>
    <w:multiLevelType w:val="hybridMultilevel"/>
    <w:tmpl w:val="595C8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F11CB5"/>
    <w:multiLevelType w:val="multilevel"/>
    <w:tmpl w:val="E13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C3672A"/>
    <w:multiLevelType w:val="hybridMultilevel"/>
    <w:tmpl w:val="D3A86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63F0D"/>
    <w:multiLevelType w:val="hybridMultilevel"/>
    <w:tmpl w:val="3F7A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0016B"/>
    <w:multiLevelType w:val="hybridMultilevel"/>
    <w:tmpl w:val="3A72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438F4"/>
    <w:multiLevelType w:val="hybridMultilevel"/>
    <w:tmpl w:val="3754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95134"/>
    <w:multiLevelType w:val="hybridMultilevel"/>
    <w:tmpl w:val="D814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6"/>
  </w:num>
  <w:num w:numId="4">
    <w:abstractNumId w:val="3"/>
  </w:num>
  <w:num w:numId="5">
    <w:abstractNumId w:val="30"/>
  </w:num>
  <w:num w:numId="6">
    <w:abstractNumId w:val="29"/>
  </w:num>
  <w:num w:numId="7">
    <w:abstractNumId w:val="10"/>
  </w:num>
  <w:num w:numId="8">
    <w:abstractNumId w:val="13"/>
  </w:num>
  <w:num w:numId="9">
    <w:abstractNumId w:val="14"/>
  </w:num>
  <w:num w:numId="10">
    <w:abstractNumId w:val="19"/>
  </w:num>
  <w:num w:numId="11">
    <w:abstractNumId w:val="24"/>
  </w:num>
  <w:num w:numId="12">
    <w:abstractNumId w:val="8"/>
  </w:num>
  <w:num w:numId="13">
    <w:abstractNumId w:val="15"/>
  </w:num>
  <w:num w:numId="14">
    <w:abstractNumId w:val="0"/>
  </w:num>
  <w:num w:numId="15">
    <w:abstractNumId w:val="1"/>
  </w:num>
  <w:num w:numId="16">
    <w:abstractNumId w:val="5"/>
  </w:num>
  <w:num w:numId="17">
    <w:abstractNumId w:val="21"/>
  </w:num>
  <w:num w:numId="18">
    <w:abstractNumId w:val="12"/>
  </w:num>
  <w:num w:numId="19">
    <w:abstractNumId w:val="28"/>
  </w:num>
  <w:num w:numId="20">
    <w:abstractNumId w:val="22"/>
  </w:num>
  <w:num w:numId="21">
    <w:abstractNumId w:val="20"/>
  </w:num>
  <w:num w:numId="22">
    <w:abstractNumId w:val="6"/>
  </w:num>
  <w:num w:numId="23">
    <w:abstractNumId w:val="17"/>
  </w:num>
  <w:num w:numId="24">
    <w:abstractNumId w:val="4"/>
  </w:num>
  <w:num w:numId="25">
    <w:abstractNumId w:val="2"/>
  </w:num>
  <w:num w:numId="26">
    <w:abstractNumId w:val="18"/>
  </w:num>
  <w:num w:numId="27">
    <w:abstractNumId w:val="26"/>
  </w:num>
  <w:num w:numId="28">
    <w:abstractNumId w:val="25"/>
  </w:num>
  <w:num w:numId="29">
    <w:abstractNumId w:val="27"/>
  </w:num>
  <w:num w:numId="30">
    <w:abstractNumId w:val="11"/>
  </w:num>
  <w:num w:numId="31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 fillcolor="black">
      <v:fill color="black" color2="black"/>
      <v:stroke weight=".25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653"/>
    <w:rsid w:val="00003E2D"/>
    <w:rsid w:val="00020110"/>
    <w:rsid w:val="0005216F"/>
    <w:rsid w:val="000A49D1"/>
    <w:rsid w:val="000A5C21"/>
    <w:rsid w:val="000C22A3"/>
    <w:rsid w:val="000E6C39"/>
    <w:rsid w:val="001016C2"/>
    <w:rsid w:val="00111959"/>
    <w:rsid w:val="001276BF"/>
    <w:rsid w:val="0014563B"/>
    <w:rsid w:val="00164C45"/>
    <w:rsid w:val="00190A8B"/>
    <w:rsid w:val="001A39D3"/>
    <w:rsid w:val="001C3A5F"/>
    <w:rsid w:val="001E117F"/>
    <w:rsid w:val="00224FD7"/>
    <w:rsid w:val="002261ED"/>
    <w:rsid w:val="00232827"/>
    <w:rsid w:val="00245A14"/>
    <w:rsid w:val="002538B9"/>
    <w:rsid w:val="002838CF"/>
    <w:rsid w:val="002E6AB2"/>
    <w:rsid w:val="002F1509"/>
    <w:rsid w:val="002F3965"/>
    <w:rsid w:val="00302ABA"/>
    <w:rsid w:val="003602DF"/>
    <w:rsid w:val="00377D6C"/>
    <w:rsid w:val="003810EC"/>
    <w:rsid w:val="00386447"/>
    <w:rsid w:val="0038717C"/>
    <w:rsid w:val="003C2A4B"/>
    <w:rsid w:val="003D5AD9"/>
    <w:rsid w:val="003F009C"/>
    <w:rsid w:val="003F18DA"/>
    <w:rsid w:val="00411509"/>
    <w:rsid w:val="00425244"/>
    <w:rsid w:val="00477390"/>
    <w:rsid w:val="004A1110"/>
    <w:rsid w:val="004A141D"/>
    <w:rsid w:val="004A3853"/>
    <w:rsid w:val="00516A1C"/>
    <w:rsid w:val="005442EC"/>
    <w:rsid w:val="00560A9A"/>
    <w:rsid w:val="0056365E"/>
    <w:rsid w:val="0058037A"/>
    <w:rsid w:val="005A1D78"/>
    <w:rsid w:val="005A3C89"/>
    <w:rsid w:val="005B70A0"/>
    <w:rsid w:val="005C29DC"/>
    <w:rsid w:val="005C4EAB"/>
    <w:rsid w:val="005D01A5"/>
    <w:rsid w:val="006122B2"/>
    <w:rsid w:val="00634C53"/>
    <w:rsid w:val="00665246"/>
    <w:rsid w:val="00692442"/>
    <w:rsid w:val="00696BEE"/>
    <w:rsid w:val="006A1257"/>
    <w:rsid w:val="006C43C1"/>
    <w:rsid w:val="006E3FAF"/>
    <w:rsid w:val="00703CFF"/>
    <w:rsid w:val="0073274E"/>
    <w:rsid w:val="00736F54"/>
    <w:rsid w:val="007715E2"/>
    <w:rsid w:val="007745DD"/>
    <w:rsid w:val="00791E73"/>
    <w:rsid w:val="007C14FA"/>
    <w:rsid w:val="007F337E"/>
    <w:rsid w:val="007F37CE"/>
    <w:rsid w:val="00806F26"/>
    <w:rsid w:val="00825207"/>
    <w:rsid w:val="00860F7C"/>
    <w:rsid w:val="00883832"/>
    <w:rsid w:val="00887021"/>
    <w:rsid w:val="008D6E91"/>
    <w:rsid w:val="008F4B67"/>
    <w:rsid w:val="00916A88"/>
    <w:rsid w:val="009434DE"/>
    <w:rsid w:val="00952FEB"/>
    <w:rsid w:val="00983E87"/>
    <w:rsid w:val="00987228"/>
    <w:rsid w:val="00990303"/>
    <w:rsid w:val="009A60B9"/>
    <w:rsid w:val="009C3A57"/>
    <w:rsid w:val="009E346D"/>
    <w:rsid w:val="009E4B72"/>
    <w:rsid w:val="00A36037"/>
    <w:rsid w:val="00A4178D"/>
    <w:rsid w:val="00AB3977"/>
    <w:rsid w:val="00B0335C"/>
    <w:rsid w:val="00B12EEE"/>
    <w:rsid w:val="00B1478D"/>
    <w:rsid w:val="00B344DA"/>
    <w:rsid w:val="00B4440A"/>
    <w:rsid w:val="00B47981"/>
    <w:rsid w:val="00B60318"/>
    <w:rsid w:val="00B60A46"/>
    <w:rsid w:val="00B72690"/>
    <w:rsid w:val="00B7381D"/>
    <w:rsid w:val="00BA3455"/>
    <w:rsid w:val="00BB4DFD"/>
    <w:rsid w:val="00BB7490"/>
    <w:rsid w:val="00BC7C47"/>
    <w:rsid w:val="00BD4EE7"/>
    <w:rsid w:val="00BF4F22"/>
    <w:rsid w:val="00C05653"/>
    <w:rsid w:val="00C40EFA"/>
    <w:rsid w:val="00C5024D"/>
    <w:rsid w:val="00C51C53"/>
    <w:rsid w:val="00C522E2"/>
    <w:rsid w:val="00C649BA"/>
    <w:rsid w:val="00C776C9"/>
    <w:rsid w:val="00CA7B06"/>
    <w:rsid w:val="00CD41AD"/>
    <w:rsid w:val="00CD6CD0"/>
    <w:rsid w:val="00CE2B6F"/>
    <w:rsid w:val="00D008AA"/>
    <w:rsid w:val="00D4577C"/>
    <w:rsid w:val="00D5380E"/>
    <w:rsid w:val="00DC0C35"/>
    <w:rsid w:val="00DD25DC"/>
    <w:rsid w:val="00DE7E13"/>
    <w:rsid w:val="00DF6E2B"/>
    <w:rsid w:val="00E068D8"/>
    <w:rsid w:val="00E125B9"/>
    <w:rsid w:val="00E23CFB"/>
    <w:rsid w:val="00E52862"/>
    <w:rsid w:val="00E6444C"/>
    <w:rsid w:val="00EB2793"/>
    <w:rsid w:val="00EB7584"/>
    <w:rsid w:val="00ED1DBB"/>
    <w:rsid w:val="00F07D27"/>
    <w:rsid w:val="00F13E5E"/>
    <w:rsid w:val="00F33BC4"/>
    <w:rsid w:val="00F36B06"/>
    <w:rsid w:val="00F54DB9"/>
    <w:rsid w:val="00F55AD2"/>
    <w:rsid w:val="00F77E12"/>
    <w:rsid w:val="00FC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black">
      <v:fill color="black" color2="black"/>
      <v:stroke weight=".25pt"/>
    </o:shapedefaults>
    <o:shapelayout v:ext="edit">
      <o:idmap v:ext="edit" data="1"/>
    </o:shapelayout>
  </w:shapeDefaults>
  <w:decimalSymbol w:val="."/>
  <w:listSeparator w:val=","/>
  <w15:chartTrackingRefBased/>
  <w15:docId w15:val="{22700AD1-EE15-46A9-B017-202B49DA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9360"/>
      </w:tabs>
      <w:jc w:val="right"/>
      <w:outlineLvl w:val="0"/>
    </w:pPr>
    <w:rPr>
      <w:b/>
      <w:i/>
      <w:smallCap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widowControl w:val="0"/>
      <w:tabs>
        <w:tab w:val="right" w:pos="9360"/>
      </w:tabs>
      <w:jc w:val="right"/>
    </w:pPr>
    <w:rPr>
      <w:rFonts w:ascii="EngraversGothic BT" w:hAnsi="EngraversGothic BT"/>
      <w:sz w:val="24"/>
    </w:rPr>
  </w:style>
  <w:style w:type="paragraph" w:styleId="BalloonText">
    <w:name w:val="Balloon Text"/>
    <w:basedOn w:val="Normal"/>
    <w:semiHidden/>
    <w:rsid w:val="002261ED"/>
    <w:rPr>
      <w:rFonts w:ascii="Tahoma" w:hAnsi="Tahoma" w:cs="Tahoma"/>
      <w:sz w:val="16"/>
      <w:szCs w:val="16"/>
    </w:rPr>
  </w:style>
  <w:style w:type="character" w:customStyle="1" w:styleId="AndrewDPerrine">
    <w:name w:val="Andrew D. Perrine"/>
    <w:semiHidden/>
    <w:rsid w:val="00CD41AD"/>
    <w:rPr>
      <w:rFonts w:ascii="Arial" w:hAnsi="Arial" w:cs="Arial"/>
      <w:color w:val="auto"/>
      <w:sz w:val="20"/>
      <w:szCs w:val="20"/>
    </w:rPr>
  </w:style>
  <w:style w:type="character" w:styleId="Hyperlink">
    <w:name w:val="Hyperlink"/>
    <w:rsid w:val="00E5286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D25DC"/>
  </w:style>
  <w:style w:type="paragraph" w:customStyle="1" w:styleId="FooterOdd">
    <w:name w:val="Footer Odd"/>
    <w:basedOn w:val="Normal"/>
    <w:qFormat/>
    <w:rsid w:val="00DD25DC"/>
    <w:pPr>
      <w:pBdr>
        <w:top w:val="single" w:sz="4" w:space="1" w:color="4F81BD"/>
      </w:pBdr>
      <w:spacing w:after="180" w:line="264" w:lineRule="auto"/>
      <w:jc w:val="right"/>
    </w:pPr>
    <w:rPr>
      <w:rFonts w:ascii="Calibri" w:eastAsia="Calibri" w:hAnsi="Calibri"/>
      <w:color w:val="1F497D"/>
      <w:lang w:eastAsia="ja-JP"/>
    </w:rPr>
  </w:style>
  <w:style w:type="paragraph" w:customStyle="1" w:styleId="FooterLeft">
    <w:name w:val="Footer Left"/>
    <w:basedOn w:val="Footer"/>
    <w:uiPriority w:val="35"/>
    <w:qFormat/>
    <w:rsid w:val="00DD25DC"/>
    <w:pPr>
      <w:pBdr>
        <w:top w:val="dashed" w:sz="4" w:space="18" w:color="7F7F7F"/>
      </w:pBdr>
      <w:spacing w:after="200"/>
      <w:contextualSpacing/>
    </w:pPr>
    <w:rPr>
      <w:rFonts w:ascii="Calibri" w:eastAsia="Calibri" w:hAnsi="Calibri"/>
      <w:color w:val="7F7F7F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8F4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1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8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2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58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4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28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MEM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TEMPLATE</Template>
  <TotalTime>70</TotalTime>
  <Pages>2</Pages>
  <Words>341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James Madison University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Email: willi2ss@jmu.edu</dc:creator>
  <cp:keywords/>
  <cp:lastModifiedBy>Amlacher, Jen - amlachja</cp:lastModifiedBy>
  <cp:revision>7</cp:revision>
  <cp:lastPrinted>2014-06-05T14:14:00Z</cp:lastPrinted>
  <dcterms:created xsi:type="dcterms:W3CDTF">2016-12-20T16:00:00Z</dcterms:created>
  <dcterms:modified xsi:type="dcterms:W3CDTF">2021-03-30T19:37:00Z</dcterms:modified>
</cp:coreProperties>
</file>