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01E258" w14:textId="77777777" w:rsidR="00451F30" w:rsidRDefault="00756DCF">
      <w:pPr>
        <w:jc w:val="center"/>
      </w:pPr>
      <w:r>
        <w:rPr>
          <w:b/>
          <w:sz w:val="36"/>
          <w:szCs w:val="36"/>
        </w:rPr>
        <w:t>Assessing Digital Projects</w:t>
      </w:r>
    </w:p>
    <w:p w14:paraId="5F5505D6" w14:textId="77777777" w:rsidR="00451F30" w:rsidRDefault="00756DCF">
      <w:pPr>
        <w:jc w:val="center"/>
        <w:rPr>
          <w:sz w:val="20"/>
          <w:szCs w:val="20"/>
        </w:rPr>
      </w:pPr>
      <w:r>
        <w:rPr>
          <w:sz w:val="20"/>
          <w:szCs w:val="20"/>
        </w:rPr>
        <w:t>Lori Beth De Hertogh</w:t>
      </w:r>
    </w:p>
    <w:p w14:paraId="5BCDC19A" w14:textId="77777777" w:rsidR="00756DCF" w:rsidRPr="00756DCF" w:rsidRDefault="00756DCF">
      <w:pPr>
        <w:jc w:val="center"/>
        <w:rPr>
          <w:u w:val="single"/>
        </w:rPr>
      </w:pPr>
      <w:r w:rsidRPr="00756DCF">
        <w:rPr>
          <w:sz w:val="20"/>
          <w:szCs w:val="20"/>
          <w:u w:val="single"/>
        </w:rPr>
        <w:t>dehertlb@jmu.edu</w:t>
      </w:r>
    </w:p>
    <w:p w14:paraId="7F890922" w14:textId="77777777" w:rsidR="00451F30" w:rsidRDefault="00451F30">
      <w:pPr>
        <w:jc w:val="center"/>
      </w:pPr>
    </w:p>
    <w:p w14:paraId="47305589" w14:textId="77777777" w:rsidR="00451F30" w:rsidRDefault="00756DCF">
      <w:pPr>
        <w:jc w:val="center"/>
      </w:pPr>
      <w:r>
        <w:rPr>
          <w:noProof/>
        </w:rPr>
        <w:drawing>
          <wp:inline distT="114300" distB="114300" distL="114300" distR="114300" wp14:anchorId="68F416E2" wp14:editId="771EC5F9">
            <wp:extent cx="3200400" cy="12192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200400" cy="1219200"/>
                    </a:xfrm>
                    <a:prstGeom prst="rect">
                      <a:avLst/>
                    </a:prstGeom>
                    <a:ln/>
                  </pic:spPr>
                </pic:pic>
              </a:graphicData>
            </a:graphic>
          </wp:inline>
        </w:drawing>
      </w:r>
    </w:p>
    <w:p w14:paraId="244E5019" w14:textId="77777777" w:rsidR="00451F30" w:rsidRDefault="00451F30"/>
    <w:p w14:paraId="6B639510" w14:textId="77777777" w:rsidR="00756DCF" w:rsidRDefault="00756DCF">
      <w:pPr>
        <w:rPr>
          <w:b/>
          <w:sz w:val="24"/>
          <w:szCs w:val="24"/>
        </w:rPr>
      </w:pPr>
    </w:p>
    <w:p w14:paraId="0EE75645" w14:textId="77777777" w:rsidR="00C7251B" w:rsidRDefault="00C7251B">
      <w:pPr>
        <w:rPr>
          <w:b/>
          <w:sz w:val="24"/>
          <w:szCs w:val="24"/>
        </w:rPr>
      </w:pPr>
    </w:p>
    <w:p w14:paraId="665A79AD" w14:textId="77777777" w:rsidR="00451F30" w:rsidRDefault="00756DCF">
      <w:r>
        <w:rPr>
          <w:b/>
          <w:sz w:val="24"/>
          <w:szCs w:val="24"/>
        </w:rPr>
        <w:t>Before assigning a digital project, ask yourself:</w:t>
      </w:r>
    </w:p>
    <w:p w14:paraId="37FACD39" w14:textId="77777777" w:rsidR="00451F30" w:rsidRDefault="00451F30"/>
    <w:p w14:paraId="2B9FC259" w14:textId="77777777" w:rsidR="00451F30" w:rsidRDefault="00756DCF">
      <w:pPr>
        <w:numPr>
          <w:ilvl w:val="0"/>
          <w:numId w:val="2"/>
        </w:numPr>
        <w:ind w:hanging="360"/>
        <w:contextualSpacing/>
        <w:rPr>
          <w:sz w:val="20"/>
          <w:szCs w:val="20"/>
        </w:rPr>
      </w:pPr>
      <w:r>
        <w:rPr>
          <w:sz w:val="20"/>
          <w:szCs w:val="20"/>
        </w:rPr>
        <w:t xml:space="preserve">What are your </w:t>
      </w:r>
      <w:r w:rsidR="00587A19">
        <w:rPr>
          <w:sz w:val="20"/>
          <w:szCs w:val="20"/>
        </w:rPr>
        <w:t>course learning outcomes? (e.g.,</w:t>
      </w:r>
      <w:r>
        <w:rPr>
          <w:sz w:val="20"/>
          <w:szCs w:val="20"/>
        </w:rPr>
        <w:t xml:space="preserve"> how much do you want students to geek out?) </w:t>
      </w:r>
      <w:r>
        <w:rPr>
          <w:sz w:val="20"/>
          <w:szCs w:val="20"/>
        </w:rPr>
        <w:br/>
      </w:r>
    </w:p>
    <w:p w14:paraId="2AEFA47A" w14:textId="3B15AAF1" w:rsidR="00451F30" w:rsidRDefault="00756DCF">
      <w:pPr>
        <w:numPr>
          <w:ilvl w:val="0"/>
          <w:numId w:val="2"/>
        </w:numPr>
        <w:ind w:hanging="360"/>
        <w:contextualSpacing/>
        <w:rPr>
          <w:sz w:val="20"/>
          <w:szCs w:val="20"/>
        </w:rPr>
      </w:pPr>
      <w:r>
        <w:rPr>
          <w:sz w:val="20"/>
          <w:szCs w:val="20"/>
        </w:rPr>
        <w:t xml:space="preserve">What approaches can you use to “make space” in your assessment practices to account for students learning new technological skills? </w:t>
      </w:r>
      <w:r w:rsidR="00C7251B">
        <w:rPr>
          <w:sz w:val="20"/>
          <w:szCs w:val="20"/>
        </w:rPr>
        <w:t xml:space="preserve">How can you practice both formative and summative assessment? </w:t>
      </w:r>
      <w:r>
        <w:rPr>
          <w:sz w:val="20"/>
          <w:szCs w:val="20"/>
        </w:rPr>
        <w:br/>
      </w:r>
    </w:p>
    <w:p w14:paraId="4685B57C" w14:textId="77777777" w:rsidR="00451F30" w:rsidRDefault="00756DCF">
      <w:pPr>
        <w:numPr>
          <w:ilvl w:val="0"/>
          <w:numId w:val="2"/>
        </w:numPr>
        <w:ind w:hanging="360"/>
        <w:contextualSpacing/>
        <w:rPr>
          <w:sz w:val="20"/>
          <w:szCs w:val="20"/>
        </w:rPr>
      </w:pPr>
      <w:r>
        <w:rPr>
          <w:sz w:val="20"/>
          <w:szCs w:val="20"/>
        </w:rPr>
        <w:t xml:space="preserve">How might you use what Grant Wiggins and Jay </w:t>
      </w:r>
      <w:proofErr w:type="spellStart"/>
      <w:r>
        <w:rPr>
          <w:sz w:val="20"/>
          <w:szCs w:val="20"/>
        </w:rPr>
        <w:t>McTighe</w:t>
      </w:r>
      <w:proofErr w:type="spellEnd"/>
      <w:r>
        <w:rPr>
          <w:sz w:val="20"/>
          <w:szCs w:val="20"/>
        </w:rPr>
        <w:t xml:space="preserve"> call “backward design” to create effective assessment practices</w:t>
      </w:r>
      <w:r w:rsidR="00F15FFD">
        <w:rPr>
          <w:sz w:val="20"/>
          <w:szCs w:val="20"/>
        </w:rPr>
        <w:t xml:space="preserve"> for digital projects</w:t>
      </w:r>
      <w:r>
        <w:rPr>
          <w:sz w:val="20"/>
          <w:szCs w:val="20"/>
        </w:rPr>
        <w:t>? Backward design asks teachers to start course planning with their desired learning outcomes and to then work backward to create lesson plans, instructional materials, and assessment practices. The model consists of three stages:</w:t>
      </w:r>
    </w:p>
    <w:p w14:paraId="129035BC" w14:textId="77777777" w:rsidR="00451F30" w:rsidRDefault="00451F30"/>
    <w:p w14:paraId="416A1F0D" w14:textId="77777777" w:rsidR="00451F30" w:rsidRDefault="00756DCF">
      <w:pPr>
        <w:numPr>
          <w:ilvl w:val="0"/>
          <w:numId w:val="1"/>
        </w:numPr>
        <w:ind w:hanging="360"/>
        <w:contextualSpacing/>
        <w:rPr>
          <w:sz w:val="20"/>
          <w:szCs w:val="20"/>
        </w:rPr>
      </w:pPr>
      <w:r>
        <w:rPr>
          <w:sz w:val="20"/>
          <w:szCs w:val="20"/>
        </w:rPr>
        <w:t>Identify desired results</w:t>
      </w:r>
    </w:p>
    <w:p w14:paraId="1F360094" w14:textId="77777777" w:rsidR="00451F30" w:rsidRDefault="00756DCF">
      <w:pPr>
        <w:numPr>
          <w:ilvl w:val="0"/>
          <w:numId w:val="1"/>
        </w:numPr>
        <w:ind w:hanging="360"/>
        <w:contextualSpacing/>
        <w:rPr>
          <w:sz w:val="20"/>
          <w:szCs w:val="20"/>
        </w:rPr>
      </w:pPr>
      <w:r>
        <w:rPr>
          <w:sz w:val="20"/>
          <w:szCs w:val="20"/>
        </w:rPr>
        <w:t>Determine acceptable evidence</w:t>
      </w:r>
    </w:p>
    <w:p w14:paraId="75C0F2D9" w14:textId="77777777" w:rsidR="00451F30" w:rsidRDefault="00756DCF">
      <w:pPr>
        <w:numPr>
          <w:ilvl w:val="0"/>
          <w:numId w:val="1"/>
        </w:numPr>
        <w:ind w:hanging="360"/>
        <w:contextualSpacing/>
        <w:rPr>
          <w:sz w:val="20"/>
          <w:szCs w:val="20"/>
        </w:rPr>
      </w:pPr>
      <w:r>
        <w:rPr>
          <w:sz w:val="20"/>
          <w:szCs w:val="20"/>
        </w:rPr>
        <w:t>Plan learning experiences and instruction</w:t>
      </w:r>
    </w:p>
    <w:p w14:paraId="06315ACF" w14:textId="77777777" w:rsidR="00451F30" w:rsidRDefault="00451F30"/>
    <w:p w14:paraId="2E7560F0" w14:textId="77777777" w:rsidR="00451F30" w:rsidRDefault="00451F30"/>
    <w:p w14:paraId="5BE54FE2" w14:textId="77777777" w:rsidR="00C7251B" w:rsidRDefault="00C7251B">
      <w:pPr>
        <w:rPr>
          <w:b/>
          <w:sz w:val="24"/>
          <w:szCs w:val="24"/>
        </w:rPr>
      </w:pPr>
    </w:p>
    <w:p w14:paraId="68149154" w14:textId="3F742DF2" w:rsidR="00451F30" w:rsidRDefault="0021168C">
      <w:r>
        <w:rPr>
          <w:b/>
          <w:sz w:val="24"/>
          <w:szCs w:val="24"/>
        </w:rPr>
        <w:t>Four</w:t>
      </w:r>
      <w:r w:rsidR="00756DCF">
        <w:rPr>
          <w:b/>
          <w:sz w:val="24"/>
          <w:szCs w:val="24"/>
        </w:rPr>
        <w:t xml:space="preserve"> ways to assess digital projects:</w:t>
      </w:r>
      <w:r w:rsidR="00F7652B">
        <w:rPr>
          <w:b/>
          <w:sz w:val="24"/>
          <w:szCs w:val="24"/>
        </w:rPr>
        <w:t xml:space="preserve"> (I’m sure the</w:t>
      </w:r>
      <w:r w:rsidR="008D66AE">
        <w:rPr>
          <w:b/>
          <w:sz w:val="24"/>
          <w:szCs w:val="24"/>
        </w:rPr>
        <w:t>re are more</w:t>
      </w:r>
      <w:r w:rsidR="00F7652B">
        <w:rPr>
          <w:b/>
          <w:sz w:val="24"/>
          <w:szCs w:val="24"/>
        </w:rPr>
        <w:t xml:space="preserve">) </w:t>
      </w:r>
    </w:p>
    <w:p w14:paraId="781841EB" w14:textId="77777777" w:rsidR="00451F30" w:rsidRDefault="00451F30" w:rsidP="0021168C">
      <w:pPr>
        <w:contextualSpacing/>
        <w:rPr>
          <w:sz w:val="20"/>
          <w:szCs w:val="20"/>
        </w:rPr>
      </w:pPr>
    </w:p>
    <w:p w14:paraId="55A5BE9E" w14:textId="67137B66" w:rsidR="00451F30" w:rsidRDefault="00756DCF">
      <w:pPr>
        <w:numPr>
          <w:ilvl w:val="0"/>
          <w:numId w:val="3"/>
        </w:numPr>
        <w:ind w:hanging="360"/>
        <w:contextualSpacing/>
        <w:rPr>
          <w:sz w:val="20"/>
          <w:szCs w:val="20"/>
        </w:rPr>
      </w:pPr>
      <w:r>
        <w:rPr>
          <w:sz w:val="20"/>
          <w:szCs w:val="20"/>
        </w:rPr>
        <w:t xml:space="preserve">Ask students to submit a cover letter or what Jody </w:t>
      </w:r>
      <w:proofErr w:type="spellStart"/>
      <w:r>
        <w:rPr>
          <w:sz w:val="20"/>
          <w:szCs w:val="20"/>
        </w:rPr>
        <w:t>Shipka</w:t>
      </w:r>
      <w:proofErr w:type="spellEnd"/>
      <w:r>
        <w:rPr>
          <w:sz w:val="20"/>
          <w:szCs w:val="20"/>
        </w:rPr>
        <w:t xml:space="preserve"> calls a “Statement of Goals &amp; Choices</w:t>
      </w:r>
      <w:r w:rsidR="0021168C">
        <w:rPr>
          <w:sz w:val="20"/>
          <w:szCs w:val="20"/>
        </w:rPr>
        <w:t>.</w:t>
      </w:r>
      <w:r>
        <w:rPr>
          <w:sz w:val="20"/>
          <w:szCs w:val="20"/>
        </w:rPr>
        <w:t xml:space="preserve">” </w:t>
      </w:r>
      <w:r w:rsidR="00F7652B">
        <w:rPr>
          <w:sz w:val="20"/>
          <w:szCs w:val="20"/>
        </w:rPr>
        <w:t>(LB’</w:t>
      </w:r>
      <w:r w:rsidR="008D66AE">
        <w:rPr>
          <w:sz w:val="20"/>
          <w:szCs w:val="20"/>
        </w:rPr>
        <w:t>s pick!</w:t>
      </w:r>
      <w:bookmarkStart w:id="0" w:name="_GoBack"/>
      <w:bookmarkEnd w:id="0"/>
      <w:r w:rsidR="00F7652B">
        <w:rPr>
          <w:sz w:val="20"/>
          <w:szCs w:val="20"/>
        </w:rPr>
        <w:t xml:space="preserve">) </w:t>
      </w:r>
      <w:r>
        <w:rPr>
          <w:sz w:val="20"/>
          <w:szCs w:val="20"/>
        </w:rPr>
        <w:br/>
      </w:r>
    </w:p>
    <w:p w14:paraId="528EA31E" w14:textId="77777777" w:rsidR="00451F30" w:rsidRDefault="00756DCF">
      <w:pPr>
        <w:numPr>
          <w:ilvl w:val="0"/>
          <w:numId w:val="3"/>
        </w:numPr>
        <w:ind w:hanging="360"/>
        <w:contextualSpacing/>
        <w:rPr>
          <w:sz w:val="20"/>
          <w:szCs w:val="20"/>
        </w:rPr>
      </w:pPr>
      <w:r>
        <w:rPr>
          <w:sz w:val="20"/>
          <w:szCs w:val="20"/>
        </w:rPr>
        <w:t>Invite students to create double note entries that allow them to identify and articulate technological composing processes as well as connections between process and product</w:t>
      </w:r>
      <w:r w:rsidR="0021168C">
        <w:rPr>
          <w:sz w:val="20"/>
          <w:szCs w:val="20"/>
        </w:rPr>
        <w:t xml:space="preserve">. </w:t>
      </w:r>
      <w:r>
        <w:rPr>
          <w:sz w:val="20"/>
          <w:szCs w:val="20"/>
        </w:rPr>
        <w:br/>
      </w:r>
    </w:p>
    <w:p w14:paraId="45148912" w14:textId="77777777" w:rsidR="00451F30" w:rsidRDefault="00756DCF">
      <w:pPr>
        <w:numPr>
          <w:ilvl w:val="0"/>
          <w:numId w:val="3"/>
        </w:numPr>
        <w:ind w:hanging="360"/>
        <w:contextualSpacing/>
        <w:rPr>
          <w:sz w:val="20"/>
          <w:szCs w:val="20"/>
        </w:rPr>
      </w:pPr>
      <w:r>
        <w:rPr>
          <w:sz w:val="20"/>
          <w:szCs w:val="20"/>
        </w:rPr>
        <w:t>Try using digital badges as a way to reward or acknowledge new technical composing skills. Badges are also a great way to motivate students!</w:t>
      </w:r>
      <w:r>
        <w:rPr>
          <w:sz w:val="20"/>
          <w:szCs w:val="20"/>
        </w:rPr>
        <w:br/>
      </w:r>
    </w:p>
    <w:p w14:paraId="3FDB42D8" w14:textId="77777777" w:rsidR="00451F30" w:rsidRDefault="00756DCF">
      <w:pPr>
        <w:numPr>
          <w:ilvl w:val="0"/>
          <w:numId w:val="3"/>
        </w:numPr>
        <w:ind w:hanging="360"/>
        <w:contextualSpacing/>
        <w:rPr>
          <w:sz w:val="20"/>
          <w:szCs w:val="20"/>
        </w:rPr>
      </w:pPr>
      <w:r>
        <w:rPr>
          <w:sz w:val="20"/>
          <w:szCs w:val="20"/>
        </w:rPr>
        <w:t>Create opportunities for students to share what they’re learning via “backchannel chats.” (e.g., Twitter, Google docs, Canvas wiki, etc.)</w:t>
      </w:r>
      <w:r>
        <w:rPr>
          <w:sz w:val="20"/>
          <w:szCs w:val="20"/>
        </w:rPr>
        <w:br/>
      </w:r>
    </w:p>
    <w:p w14:paraId="494BA921" w14:textId="77777777" w:rsidR="00C7251B" w:rsidRDefault="00C7251B">
      <w:pPr>
        <w:rPr>
          <w:b/>
          <w:sz w:val="24"/>
          <w:szCs w:val="24"/>
        </w:rPr>
      </w:pPr>
    </w:p>
    <w:p w14:paraId="76A43F10" w14:textId="77777777" w:rsidR="00C7251B" w:rsidRDefault="00C7251B">
      <w:pPr>
        <w:rPr>
          <w:b/>
          <w:sz w:val="24"/>
          <w:szCs w:val="24"/>
        </w:rPr>
      </w:pPr>
    </w:p>
    <w:p w14:paraId="59A02100" w14:textId="77777777" w:rsidR="00451F30" w:rsidRDefault="00756DCF">
      <w:r>
        <w:rPr>
          <w:b/>
          <w:sz w:val="24"/>
          <w:szCs w:val="24"/>
        </w:rPr>
        <w:lastRenderedPageBreak/>
        <w:t>For more ideas, check out these resources:</w:t>
      </w:r>
    </w:p>
    <w:p w14:paraId="6F1ED03E" w14:textId="77777777" w:rsidR="00451F30" w:rsidRDefault="00451F30"/>
    <w:p w14:paraId="0C27D329" w14:textId="77777777" w:rsidR="00451F30" w:rsidRDefault="00756DCF">
      <w:r>
        <w:rPr>
          <w:sz w:val="20"/>
          <w:szCs w:val="20"/>
        </w:rPr>
        <w:t xml:space="preserve">De Hertogh, Lori Beth. </w:t>
      </w:r>
      <w:hyperlink r:id="rId8">
        <w:r>
          <w:rPr>
            <w:color w:val="1155CC"/>
            <w:sz w:val="20"/>
            <w:szCs w:val="20"/>
            <w:u w:val="single"/>
          </w:rPr>
          <w:t xml:space="preserve">Toward a Revised Assessment Model: Rationales and Strategies for Assessing </w:t>
        </w:r>
      </w:hyperlink>
    </w:p>
    <w:p w14:paraId="6EDC9074" w14:textId="77777777" w:rsidR="00451F30" w:rsidRDefault="004E04A9">
      <w:pPr>
        <w:ind w:firstLine="720"/>
      </w:pPr>
      <w:hyperlink r:id="rId9">
        <w:r w:rsidR="00756DCF">
          <w:rPr>
            <w:color w:val="1155CC"/>
            <w:sz w:val="20"/>
            <w:szCs w:val="20"/>
            <w:u w:val="single"/>
          </w:rPr>
          <w:t>Students’ Technological Authorship</w:t>
        </w:r>
      </w:hyperlink>
      <w:r w:rsidR="00756DCF">
        <w:rPr>
          <w:sz w:val="20"/>
          <w:szCs w:val="20"/>
        </w:rPr>
        <w:t xml:space="preserve">. </w:t>
      </w:r>
      <w:r w:rsidR="00756DCF">
        <w:rPr>
          <w:i/>
          <w:sz w:val="20"/>
          <w:szCs w:val="20"/>
        </w:rPr>
        <w:t>Composition Forum</w:t>
      </w:r>
      <w:r w:rsidR="00756DCF">
        <w:rPr>
          <w:sz w:val="20"/>
          <w:szCs w:val="20"/>
        </w:rPr>
        <w:t xml:space="preserve">, 30, 2014, </w:t>
      </w:r>
      <w:proofErr w:type="spellStart"/>
      <w:r w:rsidR="00756DCF">
        <w:rPr>
          <w:sz w:val="20"/>
          <w:szCs w:val="20"/>
        </w:rPr>
        <w:t>n.p</w:t>
      </w:r>
      <w:proofErr w:type="spellEnd"/>
      <w:r w:rsidR="00756DCF">
        <w:rPr>
          <w:sz w:val="20"/>
          <w:szCs w:val="20"/>
        </w:rPr>
        <w:t xml:space="preserve">. </w:t>
      </w:r>
    </w:p>
    <w:p w14:paraId="1E9E93B3" w14:textId="77777777" w:rsidR="00451F30" w:rsidRDefault="00451F30"/>
    <w:p w14:paraId="449500AF" w14:textId="77777777" w:rsidR="00451F30" w:rsidRDefault="00756DCF">
      <w:proofErr w:type="spellStart"/>
      <w:r>
        <w:rPr>
          <w:sz w:val="20"/>
          <w:szCs w:val="20"/>
        </w:rPr>
        <w:t>Eidman-Aadahl</w:t>
      </w:r>
      <w:proofErr w:type="spellEnd"/>
      <w:r>
        <w:rPr>
          <w:sz w:val="20"/>
          <w:szCs w:val="20"/>
        </w:rPr>
        <w:t xml:space="preserve">, Elyse et al. Developing Domains for Multimodal Writing Assessment: The Language of </w:t>
      </w:r>
    </w:p>
    <w:p w14:paraId="23481E6E" w14:textId="77777777" w:rsidR="00451F30" w:rsidRDefault="00756DCF">
      <w:pPr>
        <w:ind w:left="720"/>
      </w:pPr>
      <w:r>
        <w:rPr>
          <w:sz w:val="20"/>
          <w:szCs w:val="20"/>
        </w:rPr>
        <w:t xml:space="preserve">Evaluation, the Language of Instruction. </w:t>
      </w:r>
      <w:r>
        <w:rPr>
          <w:i/>
          <w:sz w:val="20"/>
          <w:szCs w:val="20"/>
        </w:rPr>
        <w:t>Digital Writing Assessment and Evaluation</w:t>
      </w:r>
      <w:r>
        <w:rPr>
          <w:sz w:val="20"/>
          <w:szCs w:val="20"/>
        </w:rPr>
        <w:t xml:space="preserve">. Eds. Heidi McKee and </w:t>
      </w:r>
      <w:proofErr w:type="spellStart"/>
      <w:r>
        <w:rPr>
          <w:sz w:val="20"/>
          <w:szCs w:val="20"/>
        </w:rPr>
        <w:t>Dànielle</w:t>
      </w:r>
      <w:proofErr w:type="spellEnd"/>
      <w:r>
        <w:rPr>
          <w:sz w:val="20"/>
          <w:szCs w:val="20"/>
        </w:rPr>
        <w:t xml:space="preserve"> Nicole </w:t>
      </w:r>
      <w:proofErr w:type="spellStart"/>
      <w:r>
        <w:rPr>
          <w:sz w:val="20"/>
          <w:szCs w:val="20"/>
        </w:rPr>
        <w:t>DeVoss</w:t>
      </w:r>
      <w:proofErr w:type="spellEnd"/>
      <w:r>
        <w:rPr>
          <w:sz w:val="20"/>
          <w:szCs w:val="20"/>
        </w:rPr>
        <w:t xml:space="preserve">. Logan, UT: Computers and Composition Digital Press/Utah State University Press, 2013. </w:t>
      </w:r>
      <w:proofErr w:type="spellStart"/>
      <w:r>
        <w:rPr>
          <w:sz w:val="20"/>
          <w:szCs w:val="20"/>
        </w:rPr>
        <w:t>n.p</w:t>
      </w:r>
      <w:proofErr w:type="spellEnd"/>
      <w:r>
        <w:rPr>
          <w:sz w:val="20"/>
          <w:szCs w:val="20"/>
        </w:rPr>
        <w:t>. Web. 12 Aug. 2013.</w:t>
      </w:r>
      <w:r>
        <w:rPr>
          <w:sz w:val="20"/>
          <w:szCs w:val="20"/>
        </w:rPr>
        <w:br/>
      </w:r>
    </w:p>
    <w:p w14:paraId="20C4282C" w14:textId="77777777" w:rsidR="00451F30" w:rsidRDefault="00756DCF">
      <w:proofErr w:type="spellStart"/>
      <w:r>
        <w:rPr>
          <w:sz w:val="20"/>
          <w:szCs w:val="20"/>
        </w:rPr>
        <w:t>Elkordy</w:t>
      </w:r>
      <w:proofErr w:type="spellEnd"/>
      <w:r>
        <w:rPr>
          <w:sz w:val="20"/>
          <w:szCs w:val="20"/>
        </w:rPr>
        <w:t xml:space="preserve">, Angela. The Future Is Now: Unpacking Digital Badging and Micro-credentialing for K-20 </w:t>
      </w:r>
    </w:p>
    <w:p w14:paraId="2045DB08" w14:textId="77777777" w:rsidR="00451F30" w:rsidRDefault="00756DCF">
      <w:pPr>
        <w:ind w:firstLine="720"/>
      </w:pPr>
      <w:r>
        <w:rPr>
          <w:sz w:val="20"/>
          <w:szCs w:val="20"/>
        </w:rPr>
        <w:t>Educators. 24 Oct. 2012. Web.15 Nov. 2012. &lt;http://www.hastac.org/blogs/elkorda&gt;.</w:t>
      </w:r>
    </w:p>
    <w:p w14:paraId="32F07A7A" w14:textId="77777777" w:rsidR="00451F30" w:rsidRDefault="00451F30"/>
    <w:p w14:paraId="4E97797B" w14:textId="77777777" w:rsidR="00451F30" w:rsidRDefault="00756DCF">
      <w:r>
        <w:rPr>
          <w:sz w:val="20"/>
          <w:szCs w:val="20"/>
        </w:rPr>
        <w:t xml:space="preserve">Reilly, Colleen and Anthony Atkins. </w:t>
      </w:r>
      <w:hyperlink r:id="rId10">
        <w:r>
          <w:rPr>
            <w:color w:val="1155CC"/>
            <w:sz w:val="20"/>
            <w:szCs w:val="20"/>
            <w:u w:val="single"/>
          </w:rPr>
          <w:t xml:space="preserve">Rewarding Risk: Designing Aspirational Assessment Processes for </w:t>
        </w:r>
      </w:hyperlink>
    </w:p>
    <w:p w14:paraId="241C3163" w14:textId="77777777" w:rsidR="00451F30" w:rsidRDefault="004E04A9">
      <w:pPr>
        <w:ind w:left="720"/>
      </w:pPr>
      <w:hyperlink r:id="rId11">
        <w:r w:rsidR="00756DCF">
          <w:rPr>
            <w:color w:val="1155CC"/>
            <w:sz w:val="20"/>
            <w:szCs w:val="20"/>
            <w:u w:val="single"/>
          </w:rPr>
          <w:t>Digital Writing Projects. Digital Writing Assessment and Evaluation</w:t>
        </w:r>
      </w:hyperlink>
      <w:r w:rsidR="00756DCF">
        <w:rPr>
          <w:sz w:val="20"/>
          <w:szCs w:val="20"/>
        </w:rPr>
        <w:t xml:space="preserve">. Eds. Heidi McKee and </w:t>
      </w:r>
      <w:proofErr w:type="spellStart"/>
      <w:r w:rsidR="00756DCF">
        <w:rPr>
          <w:sz w:val="20"/>
          <w:szCs w:val="20"/>
        </w:rPr>
        <w:t>Dànielle</w:t>
      </w:r>
      <w:proofErr w:type="spellEnd"/>
      <w:r w:rsidR="00756DCF">
        <w:rPr>
          <w:sz w:val="20"/>
          <w:szCs w:val="20"/>
        </w:rPr>
        <w:t xml:space="preserve"> Nicole </w:t>
      </w:r>
      <w:proofErr w:type="spellStart"/>
      <w:r w:rsidR="00756DCF">
        <w:rPr>
          <w:sz w:val="20"/>
          <w:szCs w:val="20"/>
        </w:rPr>
        <w:t>DeVoss</w:t>
      </w:r>
      <w:proofErr w:type="spellEnd"/>
      <w:r w:rsidR="00756DCF">
        <w:rPr>
          <w:sz w:val="20"/>
          <w:szCs w:val="20"/>
        </w:rPr>
        <w:t xml:space="preserve">. Logan, UT: Computers and Composition Digital Press/Utah State University Press, 2013. </w:t>
      </w:r>
      <w:proofErr w:type="spellStart"/>
      <w:r w:rsidR="00756DCF">
        <w:rPr>
          <w:sz w:val="20"/>
          <w:szCs w:val="20"/>
        </w:rPr>
        <w:t>n.p</w:t>
      </w:r>
      <w:proofErr w:type="spellEnd"/>
      <w:r w:rsidR="00756DCF">
        <w:rPr>
          <w:sz w:val="20"/>
          <w:szCs w:val="20"/>
        </w:rPr>
        <w:t>. Web. 15 Oct. 2013.</w:t>
      </w:r>
      <w:r w:rsidR="00756DCF">
        <w:rPr>
          <w:sz w:val="20"/>
          <w:szCs w:val="20"/>
        </w:rPr>
        <w:br/>
      </w:r>
    </w:p>
    <w:p w14:paraId="689F644D" w14:textId="77777777" w:rsidR="00451F30" w:rsidRDefault="00756DCF">
      <w:proofErr w:type="spellStart"/>
      <w:r>
        <w:rPr>
          <w:sz w:val="20"/>
          <w:szCs w:val="20"/>
        </w:rPr>
        <w:t>Shipka</w:t>
      </w:r>
      <w:proofErr w:type="spellEnd"/>
      <w:r>
        <w:rPr>
          <w:sz w:val="20"/>
          <w:szCs w:val="20"/>
        </w:rPr>
        <w:t xml:space="preserve">, Jody. </w:t>
      </w:r>
      <w:r>
        <w:rPr>
          <w:i/>
          <w:sz w:val="20"/>
          <w:szCs w:val="20"/>
        </w:rPr>
        <w:t>Toward a Composition Made Whole</w:t>
      </w:r>
      <w:r>
        <w:rPr>
          <w:sz w:val="20"/>
          <w:szCs w:val="20"/>
        </w:rPr>
        <w:t>. Pittsburgh: U of Pittsburgh P, 2011. Print.</w:t>
      </w:r>
      <w:r>
        <w:rPr>
          <w:sz w:val="20"/>
          <w:szCs w:val="20"/>
        </w:rPr>
        <w:br/>
      </w:r>
    </w:p>
    <w:p w14:paraId="45D7C6CC" w14:textId="77777777" w:rsidR="00451F30" w:rsidRDefault="00756DCF">
      <w:r>
        <w:rPr>
          <w:sz w:val="20"/>
          <w:szCs w:val="20"/>
        </w:rPr>
        <w:t xml:space="preserve">Takayoshi, Pamela. The Shape of Electronic Writing: Evaluating and Assessing Computer-Assisted </w:t>
      </w:r>
    </w:p>
    <w:p w14:paraId="01F25E60" w14:textId="77777777" w:rsidR="00451F30" w:rsidRDefault="00756DCF">
      <w:pPr>
        <w:ind w:firstLine="720"/>
      </w:pPr>
      <w:r>
        <w:rPr>
          <w:sz w:val="20"/>
          <w:szCs w:val="20"/>
        </w:rPr>
        <w:t>Writing Processes and Products. Computers and Composition 13 (1996): 245-51. Print.</w:t>
      </w:r>
    </w:p>
    <w:p w14:paraId="4A1B2952" w14:textId="77777777" w:rsidR="00451F30" w:rsidRDefault="00451F30"/>
    <w:p w14:paraId="0F0CFB39" w14:textId="77777777" w:rsidR="00451F30" w:rsidRDefault="00756DCF">
      <w:proofErr w:type="spellStart"/>
      <w:r>
        <w:rPr>
          <w:sz w:val="20"/>
          <w:szCs w:val="20"/>
        </w:rPr>
        <w:t>Wysocki</w:t>
      </w:r>
      <w:proofErr w:type="spellEnd"/>
      <w:r>
        <w:rPr>
          <w:sz w:val="20"/>
          <w:szCs w:val="20"/>
        </w:rPr>
        <w:t xml:space="preserve">, Anne Frances, et al. Writing New Media: Theory and Applications for Expanding the Teaching of </w:t>
      </w:r>
    </w:p>
    <w:p w14:paraId="000E6851" w14:textId="77777777" w:rsidR="00451F30" w:rsidRDefault="00756DCF">
      <w:pPr>
        <w:ind w:firstLine="720"/>
      </w:pPr>
      <w:r>
        <w:rPr>
          <w:sz w:val="20"/>
          <w:szCs w:val="20"/>
        </w:rPr>
        <w:t>Composition. Logan: Utah State UP, 2004. Print.</w:t>
      </w:r>
    </w:p>
    <w:p w14:paraId="43C49E27" w14:textId="77777777" w:rsidR="00451F30" w:rsidRDefault="00451F30"/>
    <w:sectPr w:rsidR="00451F30" w:rsidSect="00756DCF">
      <w:footerReference w:type="even" r:id="rId12"/>
      <w:footerReference w:type="default" r:id="rId13"/>
      <w:pgSz w:w="12240" w:h="15840"/>
      <w:pgMar w:top="1152" w:right="1152" w:bottom="1152" w:left="115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E92F4" w14:textId="77777777" w:rsidR="004E04A9" w:rsidRDefault="004E04A9" w:rsidP="00C7251B">
      <w:pPr>
        <w:spacing w:line="240" w:lineRule="auto"/>
      </w:pPr>
      <w:r>
        <w:separator/>
      </w:r>
    </w:p>
  </w:endnote>
  <w:endnote w:type="continuationSeparator" w:id="0">
    <w:p w14:paraId="4836950A" w14:textId="77777777" w:rsidR="004E04A9" w:rsidRDefault="004E04A9" w:rsidP="00C725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EA87E" w14:textId="77777777" w:rsidR="00C7251B" w:rsidRDefault="00C7251B" w:rsidP="00365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9F091" w14:textId="77777777" w:rsidR="00C7251B" w:rsidRDefault="00C7251B" w:rsidP="00C725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D0657" w14:textId="77777777" w:rsidR="00C7251B" w:rsidRPr="00C7251B" w:rsidRDefault="00C7251B" w:rsidP="00365112">
    <w:pPr>
      <w:pStyle w:val="Footer"/>
      <w:framePr w:wrap="none" w:vAnchor="text" w:hAnchor="margin" w:xAlign="right" w:y="1"/>
      <w:rPr>
        <w:rStyle w:val="PageNumber"/>
        <w:sz w:val="20"/>
        <w:szCs w:val="20"/>
      </w:rPr>
    </w:pPr>
    <w:r w:rsidRPr="00C7251B">
      <w:rPr>
        <w:rStyle w:val="PageNumber"/>
        <w:sz w:val="20"/>
        <w:szCs w:val="20"/>
      </w:rPr>
      <w:fldChar w:fldCharType="begin"/>
    </w:r>
    <w:r w:rsidRPr="00C7251B">
      <w:rPr>
        <w:rStyle w:val="PageNumber"/>
        <w:sz w:val="20"/>
        <w:szCs w:val="20"/>
      </w:rPr>
      <w:instrText xml:space="preserve">PAGE  </w:instrText>
    </w:r>
    <w:r w:rsidRPr="00C7251B">
      <w:rPr>
        <w:rStyle w:val="PageNumber"/>
        <w:sz w:val="20"/>
        <w:szCs w:val="20"/>
      </w:rPr>
      <w:fldChar w:fldCharType="separate"/>
    </w:r>
    <w:r w:rsidR="00F217BF">
      <w:rPr>
        <w:rStyle w:val="PageNumber"/>
        <w:noProof/>
        <w:sz w:val="20"/>
        <w:szCs w:val="20"/>
      </w:rPr>
      <w:t>1</w:t>
    </w:r>
    <w:r w:rsidRPr="00C7251B">
      <w:rPr>
        <w:rStyle w:val="PageNumber"/>
        <w:sz w:val="20"/>
        <w:szCs w:val="20"/>
      </w:rPr>
      <w:fldChar w:fldCharType="end"/>
    </w:r>
  </w:p>
  <w:p w14:paraId="66AF9968" w14:textId="77777777" w:rsidR="00C7251B" w:rsidRDefault="00C7251B" w:rsidP="00C725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C5989" w14:textId="77777777" w:rsidR="004E04A9" w:rsidRDefault="004E04A9" w:rsidP="00C7251B">
      <w:pPr>
        <w:spacing w:line="240" w:lineRule="auto"/>
      </w:pPr>
      <w:r>
        <w:separator/>
      </w:r>
    </w:p>
  </w:footnote>
  <w:footnote w:type="continuationSeparator" w:id="0">
    <w:p w14:paraId="51CBAD76" w14:textId="77777777" w:rsidR="004E04A9" w:rsidRDefault="004E04A9" w:rsidP="00C7251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7F79"/>
    <w:multiLevelType w:val="multilevel"/>
    <w:tmpl w:val="2CD8DEEE"/>
    <w:lvl w:ilvl="0">
      <w:start w:val="1"/>
      <w:numFmt w:val="decimal"/>
      <w:lvlText w:val="%1."/>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4E234C4F"/>
    <w:multiLevelType w:val="multilevel"/>
    <w:tmpl w:val="889669FE"/>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C436D76"/>
    <w:multiLevelType w:val="multilevel"/>
    <w:tmpl w:val="479A2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1F30"/>
    <w:rsid w:val="0021168C"/>
    <w:rsid w:val="00451F30"/>
    <w:rsid w:val="004E04A9"/>
    <w:rsid w:val="00587A19"/>
    <w:rsid w:val="00756DCF"/>
    <w:rsid w:val="008D66AE"/>
    <w:rsid w:val="00C7251B"/>
    <w:rsid w:val="00F15FFD"/>
    <w:rsid w:val="00F217BF"/>
    <w:rsid w:val="00F765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8E0A"/>
  <w15:docId w15:val="{21138CE3-A5AD-4632-8826-BDFDF055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Footer">
    <w:name w:val="footer"/>
    <w:basedOn w:val="Normal"/>
    <w:link w:val="FooterChar"/>
    <w:uiPriority w:val="99"/>
    <w:unhideWhenUsed/>
    <w:rsid w:val="00C7251B"/>
    <w:pPr>
      <w:tabs>
        <w:tab w:val="center" w:pos="4680"/>
        <w:tab w:val="right" w:pos="9360"/>
      </w:tabs>
      <w:spacing w:line="240" w:lineRule="auto"/>
    </w:pPr>
  </w:style>
  <w:style w:type="character" w:customStyle="1" w:styleId="FooterChar">
    <w:name w:val="Footer Char"/>
    <w:basedOn w:val="DefaultParagraphFont"/>
    <w:link w:val="Footer"/>
    <w:uiPriority w:val="99"/>
    <w:rsid w:val="00C7251B"/>
  </w:style>
  <w:style w:type="character" w:styleId="PageNumber">
    <w:name w:val="page number"/>
    <w:basedOn w:val="DefaultParagraphFont"/>
    <w:uiPriority w:val="99"/>
    <w:semiHidden/>
    <w:unhideWhenUsed/>
    <w:rsid w:val="00C7251B"/>
  </w:style>
  <w:style w:type="paragraph" w:styleId="Header">
    <w:name w:val="header"/>
    <w:basedOn w:val="Normal"/>
    <w:link w:val="HeaderChar"/>
    <w:uiPriority w:val="99"/>
    <w:unhideWhenUsed/>
    <w:rsid w:val="00C7251B"/>
    <w:pPr>
      <w:tabs>
        <w:tab w:val="center" w:pos="4680"/>
        <w:tab w:val="right" w:pos="9360"/>
      </w:tabs>
      <w:spacing w:line="240" w:lineRule="auto"/>
    </w:pPr>
  </w:style>
  <w:style w:type="character" w:customStyle="1" w:styleId="HeaderChar">
    <w:name w:val="Header Char"/>
    <w:basedOn w:val="DefaultParagraphFont"/>
    <w:link w:val="Header"/>
    <w:uiPriority w:val="99"/>
    <w:rsid w:val="00C7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cdigitalpress.org/dwae/04_reilly.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ompositionforum.com/issue/30/revised-assessment-model.php" TargetMode="External"/><Relationship Id="rId9" Type="http://schemas.openxmlformats.org/officeDocument/2006/relationships/hyperlink" Target="http://compositionforum.com/issue/30/revised-assessment-model.php" TargetMode="External"/><Relationship Id="rId10" Type="http://schemas.openxmlformats.org/officeDocument/2006/relationships/hyperlink" Target="http://ccdigitalpress.org/dwae/04_reil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493</Words>
  <Characters>2811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2017-02-06T19:18:00Z</cp:lastPrinted>
  <dcterms:created xsi:type="dcterms:W3CDTF">2017-02-05T19:03:00Z</dcterms:created>
  <dcterms:modified xsi:type="dcterms:W3CDTF">2017-02-07T14:34:00Z</dcterms:modified>
</cp:coreProperties>
</file>