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8853C" w14:textId="77777777" w:rsidR="00103966" w:rsidRPr="0042125D" w:rsidRDefault="00B23D68" w:rsidP="00497612">
      <w:pPr>
        <w:pStyle w:val="Heading1"/>
        <w:spacing w:before="960" w:after="40"/>
        <w:jc w:val="right"/>
        <w:rPr>
          <w:rFonts w:ascii="Garamond" w:hAnsi="Garamond"/>
        </w:rPr>
      </w:pPr>
      <w:bookmarkStart w:id="0" w:name="_GoBack"/>
      <w:bookmarkEnd w:id="0"/>
      <w:r w:rsidRPr="0042125D">
        <w:rPr>
          <w:rFonts w:ascii="Garamond" w:hAnsi="Garamond"/>
          <w:noProof/>
        </w:rPr>
        <w:drawing>
          <wp:inline distT="0" distB="0" distL="0" distR="0" wp14:anchorId="51F5A820" wp14:editId="583FAD9D">
            <wp:extent cx="1771650" cy="1552575"/>
            <wp:effectExtent l="0" t="0" r="0" b="9525"/>
            <wp:docPr id="2" name="Picture 2" descr="E:\Writing Center Business\logo project\final logos\UWC_logo_CMYK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riting Center Business\logo project\final logos\UWC_logo_CMYK_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1552575"/>
                    </a:xfrm>
                    <a:prstGeom prst="rect">
                      <a:avLst/>
                    </a:prstGeom>
                    <a:noFill/>
                    <a:ln>
                      <a:noFill/>
                    </a:ln>
                  </pic:spPr>
                </pic:pic>
              </a:graphicData>
            </a:graphic>
          </wp:inline>
        </w:drawing>
      </w:r>
    </w:p>
    <w:p w14:paraId="7E3C0E8F" w14:textId="77777777" w:rsidR="00103966" w:rsidRPr="0042125D" w:rsidRDefault="00B23D68" w:rsidP="00E529E7">
      <w:pPr>
        <w:pStyle w:val="Heading1"/>
        <w:spacing w:before="1920" w:after="80"/>
        <w:jc w:val="right"/>
        <w:rPr>
          <w:rFonts w:ascii="Garamond" w:hAnsi="Garamond"/>
          <w:color w:val="666699"/>
          <w:sz w:val="32"/>
        </w:rPr>
      </w:pPr>
      <w:r w:rsidRPr="0042125D">
        <w:rPr>
          <w:rFonts w:ascii="Garamond" w:hAnsi="Garamond"/>
          <w:color w:val="666699"/>
          <w:sz w:val="32"/>
        </w:rPr>
        <w:t>University Writing Center</w:t>
      </w:r>
    </w:p>
    <w:p w14:paraId="610773E4" w14:textId="77777777" w:rsidR="00103966" w:rsidRPr="0042125D" w:rsidRDefault="00B23D68" w:rsidP="00353A17">
      <w:pPr>
        <w:pStyle w:val="TMPheading"/>
        <w:rPr>
          <w:rFonts w:ascii="Garamond" w:hAnsi="Garamond"/>
        </w:rPr>
      </w:pPr>
      <w:r w:rsidRPr="0042125D">
        <w:rPr>
          <w:rFonts w:ascii="Garamond" w:hAnsi="Garamond"/>
        </w:rPr>
        <w:t>201</w:t>
      </w:r>
      <w:r w:rsidR="00083808" w:rsidRPr="0042125D">
        <w:rPr>
          <w:rFonts w:ascii="Garamond" w:hAnsi="Garamond"/>
        </w:rPr>
        <w:t>4</w:t>
      </w:r>
      <w:r w:rsidRPr="0042125D">
        <w:rPr>
          <w:rFonts w:ascii="Garamond" w:hAnsi="Garamond"/>
        </w:rPr>
        <w:t>-201</w:t>
      </w:r>
      <w:r w:rsidR="00083808" w:rsidRPr="0042125D">
        <w:rPr>
          <w:rFonts w:ascii="Garamond" w:hAnsi="Garamond"/>
        </w:rPr>
        <w:t>5</w:t>
      </w:r>
      <w:r w:rsidRPr="0042125D">
        <w:rPr>
          <w:rFonts w:ascii="Garamond" w:hAnsi="Garamond"/>
        </w:rPr>
        <w:t xml:space="preserve"> Annual Report </w:t>
      </w:r>
    </w:p>
    <w:p w14:paraId="75F5DA0D" w14:textId="77777777" w:rsidR="00103966" w:rsidRPr="0042125D" w:rsidRDefault="00B626C4" w:rsidP="007D5D4D">
      <w:pPr>
        <w:pStyle w:val="StyleSub-Title1Blue-GrayBefore72pt"/>
        <w:rPr>
          <w:rFonts w:ascii="Garamond" w:hAnsi="Garamond"/>
        </w:rPr>
      </w:pPr>
      <w:r w:rsidRPr="0042125D">
        <w:rPr>
          <w:rFonts w:ascii="Garamond" w:hAnsi="Garamond"/>
        </w:rPr>
        <w:t xml:space="preserve">Version </w:t>
      </w:r>
      <w:r w:rsidR="00B23D68" w:rsidRPr="0042125D">
        <w:rPr>
          <w:rFonts w:ascii="Garamond" w:hAnsi="Garamond"/>
        </w:rPr>
        <w:t>1</w:t>
      </w:r>
      <w:r w:rsidRPr="0042125D">
        <w:rPr>
          <w:rFonts w:ascii="Garamond" w:hAnsi="Garamond"/>
        </w:rPr>
        <w:t>.0</w:t>
      </w:r>
    </w:p>
    <w:p w14:paraId="73BB17F6" w14:textId="77777777" w:rsidR="00103966" w:rsidRPr="0042125D" w:rsidRDefault="00BD34DA" w:rsidP="00E529E7">
      <w:pPr>
        <w:pStyle w:val="SubTitle2"/>
        <w:spacing w:after="1440"/>
        <w:rPr>
          <w:rFonts w:ascii="Garamond" w:hAnsi="Garamond"/>
          <w:color w:val="666699"/>
        </w:rPr>
      </w:pPr>
      <w:r w:rsidRPr="0042125D">
        <w:rPr>
          <w:rFonts w:ascii="Garamond" w:hAnsi="Garamond"/>
          <w:color w:val="666699"/>
        </w:rPr>
        <w:t>May</w:t>
      </w:r>
      <w:r w:rsidR="00B23D68" w:rsidRPr="0042125D">
        <w:rPr>
          <w:rFonts w:ascii="Garamond" w:hAnsi="Garamond"/>
          <w:color w:val="666699"/>
        </w:rPr>
        <w:t xml:space="preserve"> 201</w:t>
      </w:r>
      <w:r w:rsidR="001E6FC6" w:rsidRPr="0042125D">
        <w:rPr>
          <w:rFonts w:ascii="Garamond" w:hAnsi="Garamond"/>
          <w:color w:val="666699"/>
        </w:rPr>
        <w:t>5</w:t>
      </w:r>
    </w:p>
    <w:p w14:paraId="6B93204A" w14:textId="77777777" w:rsidR="00103966" w:rsidRPr="0042125D" w:rsidRDefault="00103966" w:rsidP="00DB6AAB">
      <w:pPr>
        <w:pStyle w:val="SubTitle3"/>
        <w:rPr>
          <w:rFonts w:ascii="Garamond" w:hAnsi="Garamond"/>
        </w:rPr>
      </w:pPr>
      <w:r w:rsidRPr="0042125D">
        <w:rPr>
          <w:rFonts w:ascii="Garamond" w:hAnsi="Garamond"/>
        </w:rPr>
        <w:t>Presented by:</w:t>
      </w:r>
    </w:p>
    <w:p w14:paraId="064AB4B1" w14:textId="77777777" w:rsidR="00DE6E42" w:rsidRPr="0042125D" w:rsidRDefault="00DE6E42" w:rsidP="001E6FC6">
      <w:pPr>
        <w:pStyle w:val="SubTitle3"/>
        <w:contextualSpacing/>
        <w:rPr>
          <w:rFonts w:ascii="Garamond" w:hAnsi="Garamond"/>
        </w:rPr>
      </w:pPr>
      <w:r w:rsidRPr="0042125D">
        <w:rPr>
          <w:rFonts w:ascii="Garamond" w:hAnsi="Garamond"/>
        </w:rPr>
        <w:t>Jared Featherstone,</w:t>
      </w:r>
      <w:r w:rsidR="002E7920" w:rsidRPr="0042125D">
        <w:rPr>
          <w:rFonts w:ascii="Garamond" w:hAnsi="Garamond"/>
        </w:rPr>
        <w:t xml:space="preserve"> </w:t>
      </w:r>
      <w:r w:rsidR="001E6FC6" w:rsidRPr="0042125D">
        <w:rPr>
          <w:rFonts w:ascii="Garamond" w:hAnsi="Garamond"/>
        </w:rPr>
        <w:t>Associate Director</w:t>
      </w:r>
    </w:p>
    <w:p w14:paraId="7B029CE0" w14:textId="77777777" w:rsidR="00DE6E42" w:rsidRPr="0042125D" w:rsidRDefault="00DE6E42" w:rsidP="001E6FC6">
      <w:pPr>
        <w:pStyle w:val="SubTitle3"/>
        <w:ind w:left="3600"/>
        <w:contextualSpacing/>
        <w:rPr>
          <w:rFonts w:ascii="Garamond" w:hAnsi="Garamond"/>
        </w:rPr>
      </w:pPr>
      <w:r w:rsidRPr="0042125D">
        <w:rPr>
          <w:rFonts w:ascii="Garamond" w:hAnsi="Garamond"/>
        </w:rPr>
        <w:t>Laura Schubert</w:t>
      </w:r>
      <w:r w:rsidR="006D2148" w:rsidRPr="0042125D">
        <w:rPr>
          <w:rFonts w:ascii="Garamond" w:hAnsi="Garamond"/>
        </w:rPr>
        <w:t>, Peer Education Coordinator</w:t>
      </w:r>
    </w:p>
    <w:p w14:paraId="2E492E85" w14:textId="77777777" w:rsidR="001E6FC6" w:rsidRPr="0042125D" w:rsidRDefault="001E6FC6" w:rsidP="001E6FC6">
      <w:pPr>
        <w:pStyle w:val="SubTitle3"/>
        <w:contextualSpacing/>
        <w:rPr>
          <w:rFonts w:ascii="Garamond" w:hAnsi="Garamond"/>
        </w:rPr>
      </w:pPr>
      <w:r w:rsidRPr="0042125D">
        <w:rPr>
          <w:rFonts w:ascii="Garamond" w:hAnsi="Garamond"/>
        </w:rPr>
        <w:t>Lucy Green, Writing Instructor</w:t>
      </w:r>
    </w:p>
    <w:p w14:paraId="488A6295" w14:textId="77777777" w:rsidR="001E6FC6" w:rsidRPr="0042125D" w:rsidRDefault="001E6FC6" w:rsidP="001E6FC6">
      <w:pPr>
        <w:pStyle w:val="SubTitle3"/>
        <w:contextualSpacing/>
        <w:rPr>
          <w:rFonts w:ascii="Garamond" w:hAnsi="Garamond"/>
        </w:rPr>
      </w:pPr>
      <w:r w:rsidRPr="0042125D">
        <w:rPr>
          <w:rFonts w:ascii="Garamond" w:hAnsi="Garamond"/>
        </w:rPr>
        <w:t>Carolyn Schubert, Library Fellow</w:t>
      </w:r>
    </w:p>
    <w:p w14:paraId="7FF4C5CB" w14:textId="77777777" w:rsidR="00DE6E42" w:rsidRPr="0042125D" w:rsidRDefault="00DE6E42" w:rsidP="00DE6E42">
      <w:pPr>
        <w:pStyle w:val="SubTitle3"/>
        <w:contextualSpacing/>
        <w:rPr>
          <w:rFonts w:ascii="Garamond" w:hAnsi="Garamond"/>
        </w:rPr>
      </w:pPr>
    </w:p>
    <w:p w14:paraId="6C54EA83" w14:textId="77777777" w:rsidR="00DE6E42" w:rsidRPr="0042125D" w:rsidRDefault="00DE6E42" w:rsidP="00DE6E42">
      <w:pPr>
        <w:pStyle w:val="SubTitle3"/>
        <w:contextualSpacing/>
        <w:rPr>
          <w:rStyle w:val="StyleSubTitle3Blue-GrayChar"/>
          <w:rFonts w:ascii="Garamond" w:hAnsi="Garamond"/>
          <w:color w:val="auto"/>
        </w:rPr>
        <w:sectPr w:rsidR="00DE6E42" w:rsidRPr="0042125D" w:rsidSect="007C5361">
          <w:footerReference w:type="even" r:id="rId10"/>
          <w:pgSz w:w="12240" w:h="15840" w:code="1"/>
          <w:pgMar w:top="1440" w:right="1440" w:bottom="1440" w:left="1440" w:header="720" w:footer="1022" w:gutter="0"/>
          <w:pgBorders w:offsetFrom="page">
            <w:top w:val="single" w:sz="4" w:space="24" w:color="auto"/>
            <w:left w:val="single" w:sz="4" w:space="24" w:color="auto"/>
            <w:bottom w:val="single" w:sz="4" w:space="24" w:color="auto"/>
            <w:right w:val="single" w:sz="4" w:space="24" w:color="auto"/>
          </w:pgBorders>
          <w:cols w:space="720"/>
          <w:titlePg/>
        </w:sectPr>
      </w:pPr>
    </w:p>
    <w:p w14:paraId="10B5A7D7" w14:textId="77777777" w:rsidR="00DA0A78" w:rsidRPr="0042125D" w:rsidRDefault="00DA0A78" w:rsidP="00E832EC">
      <w:pPr>
        <w:pStyle w:val="StyleFooterTopSinglesolidlineBlue-Gray1ptLinewidth"/>
        <w:rPr>
          <w:rFonts w:ascii="Garamond" w:hAnsi="Garamond"/>
        </w:rPr>
      </w:pPr>
    </w:p>
    <w:p w14:paraId="23F4AD83" w14:textId="77777777" w:rsidR="00210E48" w:rsidRPr="0042125D" w:rsidRDefault="001C236D" w:rsidP="00353A17">
      <w:pPr>
        <w:pStyle w:val="StyleDocTitle-RightRightSinglesolidlineBlue-Gray3pt"/>
        <w:rPr>
          <w:rFonts w:ascii="Garamond" w:hAnsi="Garamond"/>
        </w:rPr>
      </w:pPr>
      <w:r w:rsidRPr="0042125D">
        <w:rPr>
          <w:rFonts w:ascii="Garamond" w:hAnsi="Garamond"/>
        </w:rPr>
        <w:t>UWC Annual Report</w:t>
      </w:r>
      <w:r w:rsidR="00E832EC" w:rsidRPr="0042125D">
        <w:rPr>
          <w:rFonts w:ascii="Garamond" w:hAnsi="Garamond"/>
        </w:rPr>
        <w:t xml:space="preserve"> </w:t>
      </w:r>
    </w:p>
    <w:p w14:paraId="7CB13C39" w14:textId="77777777" w:rsidR="0042125D" w:rsidRPr="0042125D" w:rsidRDefault="0042125D" w:rsidP="0042125D">
      <w:pPr>
        <w:rPr>
          <w:rFonts w:ascii="Garamond" w:eastAsia="Times New Roman" w:hAnsi="Garamond"/>
          <w:szCs w:val="24"/>
        </w:rPr>
      </w:pPr>
      <w:r w:rsidRPr="0042125D">
        <w:rPr>
          <w:rFonts w:ascii="Garamond" w:eastAsia="Times New Roman" w:hAnsi="Garamond" w:cs="Arial"/>
          <w:color w:val="414042"/>
          <w:szCs w:val="24"/>
          <w:shd w:val="clear" w:color="auto" w:fill="FFFFFF"/>
        </w:rPr>
        <w:t>The University Writing Center empowers students, faculty, and staff to develop writing and critical thinking skills by providing personalized consultations, resources, and programs that strengthen writing across campus. </w:t>
      </w:r>
    </w:p>
    <w:p w14:paraId="36605B68" w14:textId="77777777" w:rsidR="00143B45" w:rsidRPr="0042125D" w:rsidRDefault="001C236D" w:rsidP="0042125D">
      <w:pPr>
        <w:pStyle w:val="Header2"/>
        <w:rPr>
          <w:rFonts w:ascii="Garamond" w:hAnsi="Garamond"/>
        </w:rPr>
      </w:pPr>
      <w:r w:rsidRPr="0042125D">
        <w:rPr>
          <w:rFonts w:ascii="Garamond" w:hAnsi="Garamond"/>
        </w:rPr>
        <w:t>New</w:t>
      </w:r>
      <w:r w:rsidR="00386263" w:rsidRPr="0042125D">
        <w:rPr>
          <w:rFonts w:ascii="Garamond" w:hAnsi="Garamond"/>
        </w:rPr>
        <w:t xml:space="preserve"> </w:t>
      </w:r>
      <w:r w:rsidR="00B803D5">
        <w:rPr>
          <w:rFonts w:ascii="Garamond" w:hAnsi="Garamond"/>
        </w:rPr>
        <w:t>Developments</w:t>
      </w:r>
    </w:p>
    <w:p w14:paraId="299F72A2" w14:textId="77777777" w:rsidR="00386263" w:rsidRPr="0042125D" w:rsidRDefault="00386263" w:rsidP="0042125D">
      <w:pPr>
        <w:pStyle w:val="Header2"/>
        <w:rPr>
          <w:rFonts w:ascii="Garamond" w:hAnsi="Garamond"/>
        </w:rPr>
      </w:pPr>
    </w:p>
    <w:p w14:paraId="64FD8020" w14:textId="77777777" w:rsidR="00F465F6" w:rsidRPr="00C37D4E" w:rsidRDefault="0042125D" w:rsidP="003C57B0">
      <w:pPr>
        <w:pStyle w:val="Header3"/>
        <w:ind w:left="720"/>
        <w:rPr>
          <w:rFonts w:ascii="Garamond" w:hAnsi="Garamond"/>
          <w:sz w:val="24"/>
          <w:szCs w:val="24"/>
        </w:rPr>
      </w:pPr>
      <w:r w:rsidRPr="00C37D4E">
        <w:rPr>
          <w:rFonts w:ascii="Garamond" w:hAnsi="Garamond"/>
          <w:sz w:val="24"/>
          <w:szCs w:val="24"/>
        </w:rPr>
        <w:t>The Student Success Center</w:t>
      </w:r>
    </w:p>
    <w:p w14:paraId="6C292C35" w14:textId="77777777" w:rsidR="00386263" w:rsidRDefault="0042125D" w:rsidP="003C57B0">
      <w:pPr>
        <w:pStyle w:val="Header3"/>
        <w:ind w:left="720"/>
        <w:rPr>
          <w:rFonts w:ascii="Garamond" w:hAnsi="Garamond"/>
          <w:b w:val="0"/>
          <w:sz w:val="24"/>
        </w:rPr>
      </w:pPr>
      <w:r>
        <w:rPr>
          <w:rFonts w:ascii="Garamond" w:hAnsi="Garamond"/>
          <w:b w:val="0"/>
          <w:sz w:val="24"/>
        </w:rPr>
        <w:t>This year, the</w:t>
      </w:r>
      <w:r w:rsidR="00F465F6" w:rsidRPr="0042125D">
        <w:rPr>
          <w:rFonts w:ascii="Garamond" w:hAnsi="Garamond"/>
          <w:b w:val="0"/>
          <w:sz w:val="24"/>
        </w:rPr>
        <w:t xml:space="preserve"> UWC </w:t>
      </w:r>
      <w:r>
        <w:rPr>
          <w:rFonts w:ascii="Garamond" w:hAnsi="Garamond"/>
          <w:b w:val="0"/>
          <w:sz w:val="24"/>
        </w:rPr>
        <w:t xml:space="preserve">moved into the Student Success Center where we established our new main location after being in Wilson Hall for 15 years. In the SSC, we had more space, the potential to have longer hours, and increased visibility. Because we did not see a substantial increase in tutoring hours, we had to </w:t>
      </w:r>
      <w:r w:rsidR="00B803D5">
        <w:rPr>
          <w:rFonts w:ascii="Garamond" w:hAnsi="Garamond"/>
          <w:b w:val="0"/>
          <w:sz w:val="24"/>
        </w:rPr>
        <w:t xml:space="preserve">settle for thinner coverage over a longer stretch of time. In order to match the schedule of our busy neighbors, the SMLC, we expanded hours to be open 10-8 Mon-Thurs, 10-2 Fridays, and 5-8 Sundays. </w:t>
      </w:r>
    </w:p>
    <w:p w14:paraId="0291CC44" w14:textId="77777777" w:rsidR="00B803D5" w:rsidRDefault="00B803D5" w:rsidP="003C57B0">
      <w:pPr>
        <w:pStyle w:val="Header3"/>
        <w:ind w:left="720"/>
        <w:rPr>
          <w:rFonts w:ascii="Garamond" w:hAnsi="Garamond"/>
          <w:b w:val="0"/>
          <w:sz w:val="24"/>
        </w:rPr>
      </w:pPr>
      <w:r>
        <w:rPr>
          <w:rFonts w:ascii="Garamond" w:hAnsi="Garamond"/>
          <w:b w:val="0"/>
          <w:sz w:val="24"/>
        </w:rPr>
        <w:t xml:space="preserve">Early in the fall semester, we noticed an increase in our walk-in traffic, and this trend continued. For the fall in the SSC, we saw a 256% increase in walk-in traffic from the previous fall in Wilson Hall. This quickly led to tutor burnout and stress, leading me to change the way I assign walk-in hours for the spring. Basically, I spread the walk-in shifts out over more tutors instead of designating certain tutors as walk-ins. </w:t>
      </w:r>
    </w:p>
    <w:p w14:paraId="2E560C78" w14:textId="77777777" w:rsidR="00B803D5" w:rsidRDefault="00B803D5" w:rsidP="003C57B0">
      <w:pPr>
        <w:pStyle w:val="Header3"/>
        <w:ind w:left="720"/>
        <w:rPr>
          <w:rFonts w:ascii="Garamond" w:hAnsi="Garamond"/>
          <w:b w:val="0"/>
          <w:sz w:val="24"/>
        </w:rPr>
      </w:pPr>
      <w:r>
        <w:rPr>
          <w:rFonts w:ascii="Garamond" w:hAnsi="Garamond"/>
          <w:b w:val="0"/>
          <w:sz w:val="24"/>
        </w:rPr>
        <w:t xml:space="preserve">Aside from the compromised tutoring budget, the new location has been great for tutors and tutees. The </w:t>
      </w:r>
      <w:r w:rsidR="004B660C">
        <w:rPr>
          <w:rFonts w:ascii="Garamond" w:hAnsi="Garamond"/>
          <w:b w:val="0"/>
          <w:sz w:val="24"/>
        </w:rPr>
        <w:t xml:space="preserve">variety of workspaces within our location allows tutors to fulfill our mission of customizing sessions to meet learning needs. We’ve been able to use the flat screen for group-written papers, and we’ve had the space to bring entire classes to the center. </w:t>
      </w:r>
    </w:p>
    <w:p w14:paraId="3629212D" w14:textId="77777777" w:rsidR="004B660C" w:rsidRDefault="004B660C" w:rsidP="003C57B0">
      <w:pPr>
        <w:pStyle w:val="Header3"/>
        <w:ind w:left="720"/>
        <w:rPr>
          <w:rFonts w:ascii="Garamond" w:hAnsi="Garamond"/>
          <w:b w:val="0"/>
          <w:sz w:val="24"/>
        </w:rPr>
      </w:pPr>
      <w:r>
        <w:rPr>
          <w:rFonts w:ascii="Garamond" w:hAnsi="Garamond"/>
          <w:b w:val="0"/>
          <w:sz w:val="24"/>
        </w:rPr>
        <w:t>Two emerging trends are the increase in adult learners using the UWC, and the use of the UWC as a writing space. This year, several adult learners have become regular users of the UWC, which has presented some challenges, particularly for undergraduate peer tutors. Because these are adults, the peer tutors have trouble relating to them and feeling confident enough to advise them. The adults are sometimes demanding and push the tutors to extend beyond their typical practices. Some tutors have expressed discomfort about this situation, which has led us to consider addressing adult learners in tutor training and professional development.</w:t>
      </w:r>
    </w:p>
    <w:p w14:paraId="62EA9410" w14:textId="0D056133" w:rsidR="004B660C" w:rsidRDefault="004B660C" w:rsidP="003C57B0">
      <w:pPr>
        <w:pStyle w:val="Header3"/>
        <w:ind w:left="720"/>
        <w:rPr>
          <w:rFonts w:ascii="Garamond" w:hAnsi="Garamond"/>
          <w:b w:val="0"/>
          <w:sz w:val="24"/>
        </w:rPr>
      </w:pPr>
      <w:r>
        <w:rPr>
          <w:rFonts w:ascii="Garamond" w:hAnsi="Garamond"/>
          <w:b w:val="0"/>
          <w:sz w:val="24"/>
        </w:rPr>
        <w:t>Adult learners and other students have started to use the UWC as not only a place to get writing help, but also a place to get writing done.</w:t>
      </w:r>
      <w:r w:rsidR="005769A4">
        <w:rPr>
          <w:rFonts w:ascii="Garamond" w:hAnsi="Garamond"/>
          <w:b w:val="0"/>
          <w:sz w:val="24"/>
        </w:rPr>
        <w:t xml:space="preserve"> With our increased space, we can accommodate writers who want to write or revise at the UWC.</w:t>
      </w:r>
      <w:r w:rsidR="004B21DF">
        <w:rPr>
          <w:rFonts w:ascii="Garamond" w:hAnsi="Garamond"/>
          <w:b w:val="0"/>
          <w:sz w:val="24"/>
        </w:rPr>
        <w:t xml:space="preserve"> In some cases, this has led to overuse of the center. One particular client would camp out to work and then pester tutors throughout the day. In collaboration with the Office of Disability Services, we worked out a system for that particular client. </w:t>
      </w:r>
    </w:p>
    <w:p w14:paraId="0FEC9C41" w14:textId="77777777" w:rsidR="00730A88" w:rsidRDefault="00730A88" w:rsidP="003C57B0">
      <w:pPr>
        <w:pStyle w:val="Header3"/>
        <w:ind w:left="720"/>
        <w:rPr>
          <w:rFonts w:ascii="Garamond" w:hAnsi="Garamond"/>
          <w:b w:val="0"/>
          <w:sz w:val="24"/>
        </w:rPr>
      </w:pPr>
    </w:p>
    <w:p w14:paraId="593DC08E" w14:textId="226C54D9" w:rsidR="00730A88" w:rsidRPr="00730A88" w:rsidRDefault="00730A88" w:rsidP="00730A88">
      <w:pPr>
        <w:ind w:left="720"/>
        <w:rPr>
          <w:rFonts w:ascii="Garamond" w:hAnsi="Garamond"/>
          <w:b/>
          <w:szCs w:val="24"/>
        </w:rPr>
      </w:pPr>
      <w:r w:rsidRPr="00730A88">
        <w:rPr>
          <w:rFonts w:ascii="Garamond" w:hAnsi="Garamond"/>
          <w:b/>
          <w:szCs w:val="24"/>
        </w:rPr>
        <w:t>New Faculty Member</w:t>
      </w:r>
      <w:r w:rsidR="006A5800">
        <w:rPr>
          <w:rFonts w:ascii="Garamond" w:hAnsi="Garamond"/>
          <w:b/>
          <w:szCs w:val="24"/>
        </w:rPr>
        <w:t xml:space="preserve"> and CHBS Outreach</w:t>
      </w:r>
    </w:p>
    <w:p w14:paraId="3110E972" w14:textId="77777777" w:rsidR="00730A88" w:rsidRDefault="00730A88" w:rsidP="00730A88">
      <w:pPr>
        <w:ind w:left="720"/>
        <w:rPr>
          <w:rFonts w:ascii="Times New Roman" w:hAnsi="Times New Roman"/>
          <w:szCs w:val="24"/>
        </w:rPr>
      </w:pPr>
      <w:r w:rsidRPr="00730A88">
        <w:rPr>
          <w:rFonts w:ascii="Garamond" w:hAnsi="Garamond"/>
          <w:szCs w:val="24"/>
        </w:rPr>
        <w:t xml:space="preserve">This year, Lucy Green joined the UWC writing faculty. Her responsibilities included tutoring, assisting with tutor training and professional development, consulting with faculty </w:t>
      </w:r>
      <w:r w:rsidRPr="00730A88">
        <w:rPr>
          <w:rFonts w:ascii="Garamond" w:hAnsi="Garamond"/>
          <w:szCs w:val="24"/>
        </w:rPr>
        <w:lastRenderedPageBreak/>
        <w:t xml:space="preserve">on writing instruction and assignment design, and coordinating presentations and workshops across campus.  Moreover, she served as liaison to the College of Health and Behavioral Studies (CHBS), with the specific goal of discovering ways for the UWC to meet discipline-specific writing needs within that College. In this role, she networked with faculty, spoke at departmental and college-wide meetings, developed tailored presentations, consulted on the new Health Sciences curriculum, coordinated a seminar and faculty panel on writing personal statements, and taught a class for CHBS seniors in the final semester of their honors projects. </w:t>
      </w:r>
    </w:p>
    <w:p w14:paraId="033311C7" w14:textId="3614F518" w:rsidR="00730A88" w:rsidRDefault="006A5800" w:rsidP="003C57B0">
      <w:pPr>
        <w:pStyle w:val="Header3"/>
        <w:ind w:left="720"/>
        <w:rPr>
          <w:rFonts w:ascii="Garamond" w:hAnsi="Garamond"/>
          <w:b w:val="0"/>
          <w:sz w:val="24"/>
          <w:szCs w:val="24"/>
        </w:rPr>
      </w:pPr>
      <w:r>
        <w:rPr>
          <w:rFonts w:ascii="Garamond" w:hAnsi="Garamond"/>
          <w:b w:val="0"/>
          <w:sz w:val="24"/>
          <w:szCs w:val="24"/>
        </w:rPr>
        <w:t>A summary of Lucy’s outreach work can be found in the table below.</w:t>
      </w:r>
    </w:p>
    <w:p w14:paraId="168579C5" w14:textId="77777777" w:rsidR="006A5800" w:rsidRPr="0058277D" w:rsidRDefault="006A5800" w:rsidP="006A5800">
      <w:pPr>
        <w:pStyle w:val="ListParagraph"/>
        <w:ind w:left="1080"/>
        <w:rPr>
          <w:rFonts w:ascii="Garamond" w:hAnsi="Garamond"/>
          <w:szCs w:val="24"/>
        </w:rPr>
      </w:pPr>
    </w:p>
    <w:tbl>
      <w:tblPr>
        <w:tblStyle w:val="TableGrid"/>
        <w:tblW w:w="0" w:type="auto"/>
        <w:tblLayout w:type="fixed"/>
        <w:tblLook w:val="04A0" w:firstRow="1" w:lastRow="0" w:firstColumn="1" w:lastColumn="0" w:noHBand="0" w:noVBand="1"/>
      </w:tblPr>
      <w:tblGrid>
        <w:gridCol w:w="1885"/>
        <w:gridCol w:w="1350"/>
        <w:gridCol w:w="1620"/>
        <w:gridCol w:w="4495"/>
      </w:tblGrid>
      <w:tr w:rsidR="006A5800" w:rsidRPr="00D769A1" w14:paraId="30FE809E" w14:textId="77777777" w:rsidTr="00B84F32">
        <w:tc>
          <w:tcPr>
            <w:tcW w:w="1885" w:type="dxa"/>
            <w:shd w:val="clear" w:color="auto" w:fill="A6A6A6" w:themeFill="background1" w:themeFillShade="A6"/>
          </w:tcPr>
          <w:p w14:paraId="199D29B3" w14:textId="77777777" w:rsidR="006A5800" w:rsidRPr="00D769A1" w:rsidRDefault="006A5800" w:rsidP="00B84F32">
            <w:pPr>
              <w:rPr>
                <w:rFonts w:ascii="Garamond" w:hAnsi="Garamond"/>
                <w:b/>
                <w:sz w:val="20"/>
              </w:rPr>
            </w:pPr>
            <w:r w:rsidRPr="00D769A1">
              <w:rPr>
                <w:rFonts w:ascii="Garamond" w:hAnsi="Garamond"/>
                <w:b/>
                <w:sz w:val="20"/>
              </w:rPr>
              <w:t>Class/Group</w:t>
            </w:r>
          </w:p>
        </w:tc>
        <w:tc>
          <w:tcPr>
            <w:tcW w:w="1350" w:type="dxa"/>
            <w:shd w:val="clear" w:color="auto" w:fill="A6A6A6" w:themeFill="background1" w:themeFillShade="A6"/>
          </w:tcPr>
          <w:p w14:paraId="3D55752B" w14:textId="77777777" w:rsidR="006A5800" w:rsidRPr="00D769A1" w:rsidRDefault="006A5800" w:rsidP="00B84F32">
            <w:pPr>
              <w:rPr>
                <w:rFonts w:ascii="Garamond" w:hAnsi="Garamond"/>
                <w:b/>
                <w:sz w:val="20"/>
              </w:rPr>
            </w:pPr>
            <w:r w:rsidRPr="00D769A1">
              <w:rPr>
                <w:rFonts w:ascii="Garamond" w:hAnsi="Garamond"/>
                <w:b/>
                <w:sz w:val="20"/>
              </w:rPr>
              <w:t>Enrollment/</w:t>
            </w:r>
          </w:p>
          <w:p w14:paraId="127CD4DB" w14:textId="77777777" w:rsidR="006A5800" w:rsidRPr="00D769A1" w:rsidRDefault="006A5800" w:rsidP="00B84F32">
            <w:pPr>
              <w:rPr>
                <w:rFonts w:ascii="Garamond" w:hAnsi="Garamond"/>
                <w:b/>
                <w:sz w:val="20"/>
              </w:rPr>
            </w:pPr>
            <w:r w:rsidRPr="00D769A1">
              <w:rPr>
                <w:rFonts w:ascii="Garamond" w:hAnsi="Garamond"/>
                <w:b/>
                <w:sz w:val="20"/>
              </w:rPr>
              <w:t>Attendance</w:t>
            </w:r>
          </w:p>
        </w:tc>
        <w:tc>
          <w:tcPr>
            <w:tcW w:w="1620" w:type="dxa"/>
            <w:shd w:val="clear" w:color="auto" w:fill="A6A6A6" w:themeFill="background1" w:themeFillShade="A6"/>
          </w:tcPr>
          <w:p w14:paraId="59FE8E0E" w14:textId="77777777" w:rsidR="006A5800" w:rsidRPr="00D769A1" w:rsidRDefault="006A5800" w:rsidP="00B84F32">
            <w:pPr>
              <w:rPr>
                <w:rFonts w:ascii="Garamond" w:hAnsi="Garamond"/>
                <w:b/>
                <w:sz w:val="20"/>
              </w:rPr>
            </w:pPr>
            <w:r w:rsidRPr="00D769A1">
              <w:rPr>
                <w:rFonts w:ascii="Garamond" w:hAnsi="Garamond"/>
                <w:b/>
                <w:sz w:val="20"/>
              </w:rPr>
              <w:t>Professor</w:t>
            </w:r>
          </w:p>
        </w:tc>
        <w:tc>
          <w:tcPr>
            <w:tcW w:w="4495" w:type="dxa"/>
            <w:shd w:val="clear" w:color="auto" w:fill="A6A6A6" w:themeFill="background1" w:themeFillShade="A6"/>
          </w:tcPr>
          <w:p w14:paraId="159C8748" w14:textId="77777777" w:rsidR="006A5800" w:rsidRPr="00D769A1" w:rsidRDefault="006A5800" w:rsidP="00B84F32">
            <w:pPr>
              <w:rPr>
                <w:rFonts w:ascii="Garamond" w:hAnsi="Garamond"/>
                <w:b/>
                <w:sz w:val="20"/>
              </w:rPr>
            </w:pPr>
            <w:r w:rsidRPr="00D769A1">
              <w:rPr>
                <w:rFonts w:ascii="Garamond" w:hAnsi="Garamond"/>
                <w:b/>
                <w:sz w:val="20"/>
              </w:rPr>
              <w:t>Presentation/Workshop Description</w:t>
            </w:r>
          </w:p>
        </w:tc>
      </w:tr>
      <w:tr w:rsidR="006A5800" w:rsidRPr="00D769A1" w14:paraId="3BFD2BC5" w14:textId="77777777" w:rsidTr="00B84F32">
        <w:tc>
          <w:tcPr>
            <w:tcW w:w="9350" w:type="dxa"/>
            <w:gridSpan w:val="4"/>
            <w:shd w:val="clear" w:color="auto" w:fill="D9D9D9" w:themeFill="background1" w:themeFillShade="D9"/>
          </w:tcPr>
          <w:p w14:paraId="2E98EE5D" w14:textId="77777777" w:rsidR="006A5800" w:rsidRPr="00D864D3" w:rsidRDefault="006A5800" w:rsidP="00B84F32">
            <w:pPr>
              <w:rPr>
                <w:rFonts w:ascii="Garamond" w:hAnsi="Garamond"/>
                <w:b/>
                <w:sz w:val="20"/>
              </w:rPr>
            </w:pPr>
            <w:r>
              <w:rPr>
                <w:rFonts w:ascii="Garamond" w:hAnsi="Garamond"/>
                <w:b/>
                <w:sz w:val="20"/>
              </w:rPr>
              <w:t>FALL 2014</w:t>
            </w:r>
          </w:p>
        </w:tc>
      </w:tr>
      <w:tr w:rsidR="006A5800" w:rsidRPr="00D769A1" w14:paraId="4E6E19EC" w14:textId="77777777" w:rsidTr="00B84F32">
        <w:tc>
          <w:tcPr>
            <w:tcW w:w="1885" w:type="dxa"/>
          </w:tcPr>
          <w:p w14:paraId="7A84F111" w14:textId="77777777" w:rsidR="006A5800" w:rsidRPr="00D769A1" w:rsidRDefault="006A5800" w:rsidP="00B84F32">
            <w:pPr>
              <w:rPr>
                <w:rFonts w:ascii="Garamond" w:hAnsi="Garamond"/>
                <w:sz w:val="20"/>
              </w:rPr>
            </w:pPr>
            <w:r>
              <w:rPr>
                <w:rFonts w:ascii="Garamond" w:hAnsi="Garamond"/>
                <w:sz w:val="20"/>
              </w:rPr>
              <w:t>ASP Peer Instructors</w:t>
            </w:r>
          </w:p>
        </w:tc>
        <w:tc>
          <w:tcPr>
            <w:tcW w:w="1350" w:type="dxa"/>
          </w:tcPr>
          <w:p w14:paraId="59210479" w14:textId="77777777" w:rsidR="006A5800" w:rsidRPr="00D769A1" w:rsidRDefault="006A5800" w:rsidP="00B84F32">
            <w:pPr>
              <w:rPr>
                <w:rFonts w:ascii="Garamond" w:hAnsi="Garamond"/>
                <w:sz w:val="20"/>
              </w:rPr>
            </w:pPr>
            <w:r>
              <w:rPr>
                <w:rFonts w:ascii="Garamond" w:hAnsi="Garamond"/>
                <w:sz w:val="20"/>
              </w:rPr>
              <w:t>10</w:t>
            </w:r>
          </w:p>
        </w:tc>
        <w:tc>
          <w:tcPr>
            <w:tcW w:w="1620" w:type="dxa"/>
          </w:tcPr>
          <w:p w14:paraId="62B573FE" w14:textId="77777777" w:rsidR="006A5800" w:rsidRPr="00D769A1" w:rsidRDefault="006A5800" w:rsidP="00B84F32">
            <w:pPr>
              <w:rPr>
                <w:rFonts w:ascii="Garamond" w:hAnsi="Garamond"/>
                <w:sz w:val="20"/>
              </w:rPr>
            </w:pPr>
            <w:r>
              <w:rPr>
                <w:rFonts w:ascii="Garamond" w:hAnsi="Garamond"/>
                <w:sz w:val="20"/>
              </w:rPr>
              <w:t>Renee Bernier</w:t>
            </w:r>
          </w:p>
        </w:tc>
        <w:tc>
          <w:tcPr>
            <w:tcW w:w="4495" w:type="dxa"/>
          </w:tcPr>
          <w:p w14:paraId="662FAF89" w14:textId="77777777" w:rsidR="006A5800" w:rsidRPr="00D769A1" w:rsidRDefault="006A5800" w:rsidP="00B84F32">
            <w:pPr>
              <w:rPr>
                <w:rFonts w:ascii="Garamond" w:hAnsi="Garamond"/>
                <w:sz w:val="20"/>
              </w:rPr>
            </w:pPr>
            <w:r>
              <w:rPr>
                <w:rFonts w:ascii="Garamond" w:hAnsi="Garamond"/>
                <w:sz w:val="20"/>
              </w:rPr>
              <w:t>Interactive career development workshop, with tips for writing cover letters and personal statements, and suggestions for incorporating ASP experience into those documents</w:t>
            </w:r>
          </w:p>
        </w:tc>
      </w:tr>
      <w:tr w:rsidR="006A5800" w:rsidRPr="00D769A1" w14:paraId="5C068AB9" w14:textId="77777777" w:rsidTr="00B84F32">
        <w:tc>
          <w:tcPr>
            <w:tcW w:w="1885" w:type="dxa"/>
          </w:tcPr>
          <w:p w14:paraId="70E555F0" w14:textId="77777777" w:rsidR="006A5800" w:rsidRPr="00D769A1" w:rsidRDefault="006A5800" w:rsidP="00B84F32">
            <w:pPr>
              <w:rPr>
                <w:rFonts w:ascii="Garamond" w:hAnsi="Garamond"/>
                <w:sz w:val="20"/>
              </w:rPr>
            </w:pPr>
            <w:r w:rsidRPr="00D769A1">
              <w:rPr>
                <w:rFonts w:ascii="Garamond" w:hAnsi="Garamond"/>
                <w:sz w:val="20"/>
              </w:rPr>
              <w:t>CHBS / Pre-professional Health</w:t>
            </w:r>
          </w:p>
        </w:tc>
        <w:tc>
          <w:tcPr>
            <w:tcW w:w="1350" w:type="dxa"/>
          </w:tcPr>
          <w:p w14:paraId="291EC4E9" w14:textId="77777777" w:rsidR="006A5800" w:rsidRPr="00D769A1" w:rsidRDefault="006A5800" w:rsidP="00B84F32">
            <w:pPr>
              <w:rPr>
                <w:rFonts w:ascii="Garamond" w:hAnsi="Garamond"/>
                <w:sz w:val="20"/>
              </w:rPr>
            </w:pPr>
            <w:r w:rsidRPr="00D769A1">
              <w:rPr>
                <w:rFonts w:ascii="Garamond" w:hAnsi="Garamond"/>
                <w:sz w:val="20"/>
              </w:rPr>
              <w:t>90</w:t>
            </w:r>
          </w:p>
        </w:tc>
        <w:tc>
          <w:tcPr>
            <w:tcW w:w="1620" w:type="dxa"/>
          </w:tcPr>
          <w:p w14:paraId="1C74E7B4" w14:textId="77777777" w:rsidR="006A5800" w:rsidRPr="00D769A1" w:rsidRDefault="006A5800" w:rsidP="00B84F32">
            <w:pPr>
              <w:rPr>
                <w:rFonts w:ascii="Garamond" w:hAnsi="Garamond"/>
                <w:sz w:val="20"/>
              </w:rPr>
            </w:pPr>
            <w:r w:rsidRPr="00D769A1">
              <w:rPr>
                <w:rFonts w:ascii="Garamond" w:hAnsi="Garamond"/>
                <w:sz w:val="20"/>
              </w:rPr>
              <w:t>N/A</w:t>
            </w:r>
          </w:p>
        </w:tc>
        <w:tc>
          <w:tcPr>
            <w:tcW w:w="4495" w:type="dxa"/>
          </w:tcPr>
          <w:p w14:paraId="4BE99BB0" w14:textId="77777777" w:rsidR="006A5800" w:rsidRPr="00D769A1" w:rsidRDefault="006A5800" w:rsidP="00B84F32">
            <w:pPr>
              <w:rPr>
                <w:rFonts w:ascii="Garamond" w:hAnsi="Garamond"/>
                <w:sz w:val="20"/>
              </w:rPr>
            </w:pPr>
            <w:r w:rsidRPr="00D769A1">
              <w:rPr>
                <w:rFonts w:ascii="Garamond" w:hAnsi="Garamond"/>
                <w:sz w:val="20"/>
              </w:rPr>
              <w:t xml:space="preserve">Strategies for writing personal statements and faculty panel discussion </w:t>
            </w:r>
          </w:p>
        </w:tc>
      </w:tr>
      <w:tr w:rsidR="006A5800" w:rsidRPr="00D769A1" w14:paraId="37F1A120" w14:textId="77777777" w:rsidTr="00B84F32">
        <w:tc>
          <w:tcPr>
            <w:tcW w:w="1885" w:type="dxa"/>
          </w:tcPr>
          <w:p w14:paraId="0204C89B" w14:textId="77777777" w:rsidR="006A5800" w:rsidRPr="00D769A1" w:rsidRDefault="006A5800" w:rsidP="00B84F32">
            <w:pPr>
              <w:rPr>
                <w:rFonts w:ascii="Garamond" w:hAnsi="Garamond"/>
                <w:sz w:val="20"/>
              </w:rPr>
            </w:pPr>
            <w:r>
              <w:rPr>
                <w:rFonts w:ascii="Garamond" w:hAnsi="Garamond"/>
                <w:sz w:val="20"/>
              </w:rPr>
              <w:t>CHEM 481</w:t>
            </w:r>
          </w:p>
        </w:tc>
        <w:tc>
          <w:tcPr>
            <w:tcW w:w="1350" w:type="dxa"/>
          </w:tcPr>
          <w:p w14:paraId="0C909D48" w14:textId="77777777" w:rsidR="006A5800" w:rsidRPr="00D769A1" w:rsidRDefault="006A5800" w:rsidP="00B84F32">
            <w:pPr>
              <w:rPr>
                <w:rFonts w:ascii="Garamond" w:hAnsi="Garamond"/>
                <w:sz w:val="20"/>
              </w:rPr>
            </w:pPr>
            <w:r>
              <w:rPr>
                <w:rFonts w:ascii="Garamond" w:hAnsi="Garamond"/>
                <w:sz w:val="20"/>
              </w:rPr>
              <w:t>40</w:t>
            </w:r>
          </w:p>
        </w:tc>
        <w:tc>
          <w:tcPr>
            <w:tcW w:w="1620" w:type="dxa"/>
          </w:tcPr>
          <w:p w14:paraId="22EE84C3" w14:textId="77777777" w:rsidR="006A5800" w:rsidRPr="00D769A1" w:rsidRDefault="006A5800" w:rsidP="00B84F32">
            <w:pPr>
              <w:rPr>
                <w:rFonts w:ascii="Garamond" w:hAnsi="Garamond"/>
                <w:sz w:val="20"/>
              </w:rPr>
            </w:pPr>
            <w:r>
              <w:rPr>
                <w:rFonts w:ascii="Garamond" w:hAnsi="Garamond"/>
                <w:sz w:val="20"/>
              </w:rPr>
              <w:t>Barbara Reisner</w:t>
            </w:r>
          </w:p>
        </w:tc>
        <w:tc>
          <w:tcPr>
            <w:tcW w:w="4495" w:type="dxa"/>
          </w:tcPr>
          <w:p w14:paraId="336800C0" w14:textId="77777777" w:rsidR="006A5800" w:rsidRPr="00D769A1" w:rsidRDefault="006A5800" w:rsidP="00B84F32">
            <w:pPr>
              <w:rPr>
                <w:rFonts w:ascii="Garamond" w:hAnsi="Garamond"/>
                <w:sz w:val="20"/>
              </w:rPr>
            </w:pPr>
            <w:r>
              <w:rPr>
                <w:rFonts w:ascii="Garamond" w:hAnsi="Garamond"/>
                <w:sz w:val="20"/>
              </w:rPr>
              <w:t>The writing process for review papers</w:t>
            </w:r>
          </w:p>
        </w:tc>
      </w:tr>
      <w:tr w:rsidR="006A5800" w:rsidRPr="00D769A1" w14:paraId="76BAFB59" w14:textId="77777777" w:rsidTr="00B84F32">
        <w:tc>
          <w:tcPr>
            <w:tcW w:w="1885" w:type="dxa"/>
          </w:tcPr>
          <w:p w14:paraId="4BBF22E0" w14:textId="77777777" w:rsidR="006A5800" w:rsidRPr="00D769A1" w:rsidRDefault="006A5800" w:rsidP="00B84F32">
            <w:pPr>
              <w:rPr>
                <w:rFonts w:ascii="Garamond" w:hAnsi="Garamond"/>
                <w:sz w:val="20"/>
              </w:rPr>
            </w:pPr>
            <w:r w:rsidRPr="00D769A1">
              <w:rPr>
                <w:rFonts w:ascii="Garamond" w:hAnsi="Garamond"/>
                <w:sz w:val="20"/>
              </w:rPr>
              <w:t>CSD</w:t>
            </w:r>
          </w:p>
        </w:tc>
        <w:tc>
          <w:tcPr>
            <w:tcW w:w="1350" w:type="dxa"/>
          </w:tcPr>
          <w:p w14:paraId="7EA9D03A" w14:textId="77777777" w:rsidR="006A5800" w:rsidRPr="00D769A1" w:rsidRDefault="006A5800" w:rsidP="00B84F32">
            <w:pPr>
              <w:rPr>
                <w:rFonts w:ascii="Garamond" w:hAnsi="Garamond"/>
                <w:sz w:val="20"/>
              </w:rPr>
            </w:pPr>
            <w:r w:rsidRPr="00D769A1">
              <w:rPr>
                <w:rFonts w:ascii="Garamond" w:hAnsi="Garamond"/>
                <w:sz w:val="20"/>
              </w:rPr>
              <w:t>7</w:t>
            </w:r>
          </w:p>
        </w:tc>
        <w:tc>
          <w:tcPr>
            <w:tcW w:w="1620" w:type="dxa"/>
          </w:tcPr>
          <w:p w14:paraId="53A62DA4" w14:textId="77777777" w:rsidR="006A5800" w:rsidRPr="00D769A1" w:rsidRDefault="006A5800" w:rsidP="00B84F32">
            <w:pPr>
              <w:rPr>
                <w:rFonts w:ascii="Garamond" w:hAnsi="Garamond"/>
                <w:sz w:val="20"/>
              </w:rPr>
            </w:pPr>
            <w:r w:rsidRPr="00D769A1">
              <w:rPr>
                <w:rFonts w:ascii="Garamond" w:hAnsi="Garamond"/>
                <w:sz w:val="20"/>
              </w:rPr>
              <w:t>N/A</w:t>
            </w:r>
          </w:p>
        </w:tc>
        <w:tc>
          <w:tcPr>
            <w:tcW w:w="4495" w:type="dxa"/>
          </w:tcPr>
          <w:p w14:paraId="2931CE10" w14:textId="77777777" w:rsidR="006A5800" w:rsidRPr="00D769A1" w:rsidRDefault="006A5800" w:rsidP="00B84F32">
            <w:pPr>
              <w:rPr>
                <w:rFonts w:ascii="Garamond" w:hAnsi="Garamond"/>
                <w:sz w:val="20"/>
              </w:rPr>
            </w:pPr>
            <w:r w:rsidRPr="00D769A1">
              <w:rPr>
                <w:rFonts w:ascii="Garamond" w:hAnsi="Garamond"/>
                <w:sz w:val="20"/>
              </w:rPr>
              <w:t>Guided peer review workshop for personal statements</w:t>
            </w:r>
          </w:p>
        </w:tc>
      </w:tr>
      <w:tr w:rsidR="006A5800" w:rsidRPr="00D769A1" w14:paraId="7854A2B1" w14:textId="77777777" w:rsidTr="00B84F32">
        <w:tc>
          <w:tcPr>
            <w:tcW w:w="1885" w:type="dxa"/>
          </w:tcPr>
          <w:p w14:paraId="7E4986BB" w14:textId="77777777" w:rsidR="006A5800" w:rsidRPr="00D769A1" w:rsidRDefault="006A5800" w:rsidP="00B84F32">
            <w:pPr>
              <w:rPr>
                <w:rFonts w:ascii="Garamond" w:hAnsi="Garamond"/>
                <w:sz w:val="20"/>
              </w:rPr>
            </w:pPr>
            <w:r w:rsidRPr="00D769A1">
              <w:rPr>
                <w:rFonts w:ascii="Garamond" w:hAnsi="Garamond"/>
                <w:sz w:val="20"/>
              </w:rPr>
              <w:t>HTH 408 (x2)</w:t>
            </w:r>
          </w:p>
        </w:tc>
        <w:tc>
          <w:tcPr>
            <w:tcW w:w="1350" w:type="dxa"/>
          </w:tcPr>
          <w:p w14:paraId="65C2A872" w14:textId="77777777" w:rsidR="006A5800" w:rsidRPr="00D769A1" w:rsidRDefault="006A5800" w:rsidP="00B84F32">
            <w:pPr>
              <w:rPr>
                <w:rFonts w:ascii="Garamond" w:hAnsi="Garamond"/>
                <w:sz w:val="20"/>
              </w:rPr>
            </w:pPr>
            <w:r w:rsidRPr="00D769A1">
              <w:rPr>
                <w:rFonts w:ascii="Garamond" w:hAnsi="Garamond"/>
                <w:sz w:val="20"/>
              </w:rPr>
              <w:t>41</w:t>
            </w:r>
          </w:p>
        </w:tc>
        <w:tc>
          <w:tcPr>
            <w:tcW w:w="1620" w:type="dxa"/>
          </w:tcPr>
          <w:p w14:paraId="77C508A2" w14:textId="77777777" w:rsidR="006A5800" w:rsidRPr="00D769A1" w:rsidRDefault="006A5800" w:rsidP="00B84F32">
            <w:pPr>
              <w:rPr>
                <w:rFonts w:ascii="Garamond" w:hAnsi="Garamond"/>
                <w:sz w:val="20"/>
              </w:rPr>
            </w:pPr>
            <w:r w:rsidRPr="00D769A1">
              <w:rPr>
                <w:rFonts w:ascii="Garamond" w:hAnsi="Garamond"/>
                <w:sz w:val="20"/>
              </w:rPr>
              <w:t>Stephanie Baller</w:t>
            </w:r>
          </w:p>
        </w:tc>
        <w:tc>
          <w:tcPr>
            <w:tcW w:w="4495" w:type="dxa"/>
          </w:tcPr>
          <w:p w14:paraId="5CE92C48" w14:textId="77777777" w:rsidR="006A5800" w:rsidRPr="00D769A1" w:rsidRDefault="006A5800" w:rsidP="00B84F32">
            <w:pPr>
              <w:rPr>
                <w:rFonts w:ascii="Garamond" w:hAnsi="Garamond"/>
                <w:sz w:val="20"/>
              </w:rPr>
            </w:pPr>
            <w:r w:rsidRPr="00D769A1">
              <w:rPr>
                <w:rFonts w:ascii="Garamond" w:hAnsi="Garamond"/>
                <w:sz w:val="20"/>
              </w:rPr>
              <w:t>Essay revision and editing workshop</w:t>
            </w:r>
          </w:p>
        </w:tc>
      </w:tr>
      <w:tr w:rsidR="006A5800" w:rsidRPr="00D769A1" w14:paraId="1C7F611E" w14:textId="77777777" w:rsidTr="00B84F32">
        <w:tc>
          <w:tcPr>
            <w:tcW w:w="1885" w:type="dxa"/>
          </w:tcPr>
          <w:p w14:paraId="61F246A7" w14:textId="77777777" w:rsidR="006A5800" w:rsidRPr="00D769A1" w:rsidRDefault="006A5800" w:rsidP="00B84F32">
            <w:pPr>
              <w:rPr>
                <w:rFonts w:ascii="Garamond" w:hAnsi="Garamond"/>
                <w:sz w:val="20"/>
              </w:rPr>
            </w:pPr>
            <w:r w:rsidRPr="00D769A1">
              <w:rPr>
                <w:rFonts w:ascii="Garamond" w:hAnsi="Garamond"/>
                <w:sz w:val="20"/>
              </w:rPr>
              <w:t>HTH 351 (x2)</w:t>
            </w:r>
          </w:p>
        </w:tc>
        <w:tc>
          <w:tcPr>
            <w:tcW w:w="1350" w:type="dxa"/>
          </w:tcPr>
          <w:p w14:paraId="268D534E" w14:textId="77777777" w:rsidR="006A5800" w:rsidRPr="00D769A1" w:rsidRDefault="006A5800" w:rsidP="00B84F32">
            <w:pPr>
              <w:rPr>
                <w:rFonts w:ascii="Garamond" w:hAnsi="Garamond"/>
                <w:sz w:val="20"/>
              </w:rPr>
            </w:pPr>
            <w:r w:rsidRPr="00D769A1">
              <w:rPr>
                <w:rFonts w:ascii="Garamond" w:hAnsi="Garamond"/>
                <w:sz w:val="20"/>
              </w:rPr>
              <w:t>91</w:t>
            </w:r>
          </w:p>
        </w:tc>
        <w:tc>
          <w:tcPr>
            <w:tcW w:w="1620" w:type="dxa"/>
          </w:tcPr>
          <w:p w14:paraId="16C19AA0" w14:textId="77777777" w:rsidR="006A5800" w:rsidRPr="00D769A1" w:rsidRDefault="006A5800" w:rsidP="00B84F32">
            <w:pPr>
              <w:rPr>
                <w:rFonts w:ascii="Garamond" w:hAnsi="Garamond"/>
                <w:sz w:val="20"/>
              </w:rPr>
            </w:pPr>
            <w:r w:rsidRPr="00D769A1">
              <w:rPr>
                <w:rFonts w:ascii="Garamond" w:hAnsi="Garamond"/>
                <w:sz w:val="20"/>
              </w:rPr>
              <w:t>Stephanie Baller</w:t>
            </w:r>
          </w:p>
        </w:tc>
        <w:tc>
          <w:tcPr>
            <w:tcW w:w="4495" w:type="dxa"/>
          </w:tcPr>
          <w:p w14:paraId="1C55A3F3" w14:textId="77777777" w:rsidR="006A5800" w:rsidRPr="00D769A1" w:rsidRDefault="006A5800" w:rsidP="00B84F32">
            <w:pPr>
              <w:rPr>
                <w:rFonts w:ascii="Garamond" w:hAnsi="Garamond"/>
                <w:sz w:val="20"/>
              </w:rPr>
            </w:pPr>
            <w:r w:rsidRPr="00D769A1">
              <w:rPr>
                <w:rFonts w:ascii="Garamond" w:hAnsi="Garamond"/>
                <w:sz w:val="20"/>
              </w:rPr>
              <w:t>Strategies for composing effective arguments in scientific writing</w:t>
            </w:r>
          </w:p>
        </w:tc>
      </w:tr>
      <w:tr w:rsidR="006A5800" w:rsidRPr="00D769A1" w14:paraId="0792473F" w14:textId="77777777" w:rsidTr="00B84F32">
        <w:tc>
          <w:tcPr>
            <w:tcW w:w="1885" w:type="dxa"/>
          </w:tcPr>
          <w:p w14:paraId="5DBD8C72" w14:textId="77777777" w:rsidR="006A5800" w:rsidRPr="00D769A1" w:rsidRDefault="006A5800" w:rsidP="00B84F32">
            <w:pPr>
              <w:rPr>
                <w:rFonts w:ascii="Garamond" w:hAnsi="Garamond"/>
                <w:sz w:val="20"/>
              </w:rPr>
            </w:pPr>
            <w:r w:rsidRPr="00D769A1">
              <w:rPr>
                <w:rFonts w:ascii="Garamond" w:hAnsi="Garamond"/>
                <w:sz w:val="20"/>
              </w:rPr>
              <w:t>HTH 351 (x2)</w:t>
            </w:r>
          </w:p>
        </w:tc>
        <w:tc>
          <w:tcPr>
            <w:tcW w:w="1350" w:type="dxa"/>
          </w:tcPr>
          <w:p w14:paraId="4BC1D55E" w14:textId="77777777" w:rsidR="006A5800" w:rsidRPr="00D769A1" w:rsidRDefault="006A5800" w:rsidP="00B84F32">
            <w:pPr>
              <w:rPr>
                <w:rFonts w:ascii="Garamond" w:hAnsi="Garamond"/>
                <w:sz w:val="20"/>
              </w:rPr>
            </w:pPr>
            <w:r w:rsidRPr="00D769A1">
              <w:rPr>
                <w:rFonts w:ascii="Garamond" w:hAnsi="Garamond"/>
                <w:sz w:val="20"/>
              </w:rPr>
              <w:t>91</w:t>
            </w:r>
          </w:p>
        </w:tc>
        <w:tc>
          <w:tcPr>
            <w:tcW w:w="1620" w:type="dxa"/>
          </w:tcPr>
          <w:p w14:paraId="66235CD3" w14:textId="77777777" w:rsidR="006A5800" w:rsidRPr="00D769A1" w:rsidRDefault="006A5800" w:rsidP="00B84F32">
            <w:pPr>
              <w:rPr>
                <w:rFonts w:ascii="Garamond" w:hAnsi="Garamond"/>
                <w:sz w:val="20"/>
              </w:rPr>
            </w:pPr>
            <w:r w:rsidRPr="00D769A1">
              <w:rPr>
                <w:rFonts w:ascii="Garamond" w:hAnsi="Garamond"/>
                <w:sz w:val="20"/>
              </w:rPr>
              <w:t>Stephanie Baller</w:t>
            </w:r>
          </w:p>
        </w:tc>
        <w:tc>
          <w:tcPr>
            <w:tcW w:w="4495" w:type="dxa"/>
          </w:tcPr>
          <w:p w14:paraId="75ACF725" w14:textId="77777777" w:rsidR="006A5800" w:rsidRPr="00D769A1" w:rsidRDefault="006A5800" w:rsidP="00B84F32">
            <w:pPr>
              <w:rPr>
                <w:rFonts w:ascii="Garamond" w:hAnsi="Garamond"/>
                <w:sz w:val="20"/>
              </w:rPr>
            </w:pPr>
            <w:r w:rsidRPr="00D769A1">
              <w:rPr>
                <w:rFonts w:ascii="Garamond" w:hAnsi="Garamond"/>
                <w:sz w:val="20"/>
              </w:rPr>
              <w:t>Essay revision and editing workshop</w:t>
            </w:r>
          </w:p>
        </w:tc>
      </w:tr>
      <w:tr w:rsidR="006A5800" w:rsidRPr="00D769A1" w14:paraId="7EA17660" w14:textId="77777777" w:rsidTr="00B84F32">
        <w:tc>
          <w:tcPr>
            <w:tcW w:w="1885" w:type="dxa"/>
          </w:tcPr>
          <w:p w14:paraId="11C3F8A8" w14:textId="77777777" w:rsidR="006A5800" w:rsidRPr="00D769A1" w:rsidRDefault="006A5800" w:rsidP="00B84F32">
            <w:pPr>
              <w:rPr>
                <w:rFonts w:ascii="Garamond" w:hAnsi="Garamond"/>
                <w:sz w:val="20"/>
              </w:rPr>
            </w:pPr>
            <w:r w:rsidRPr="00D769A1">
              <w:rPr>
                <w:rFonts w:ascii="Garamond" w:hAnsi="Garamond"/>
                <w:sz w:val="20"/>
              </w:rPr>
              <w:t>NSG 350 (x2)</w:t>
            </w:r>
          </w:p>
        </w:tc>
        <w:tc>
          <w:tcPr>
            <w:tcW w:w="1350" w:type="dxa"/>
          </w:tcPr>
          <w:p w14:paraId="2627046C" w14:textId="77777777" w:rsidR="006A5800" w:rsidRPr="00D769A1" w:rsidRDefault="006A5800" w:rsidP="00B84F32">
            <w:pPr>
              <w:rPr>
                <w:rFonts w:ascii="Garamond" w:hAnsi="Garamond"/>
                <w:sz w:val="20"/>
              </w:rPr>
            </w:pPr>
            <w:r w:rsidRPr="00D769A1">
              <w:rPr>
                <w:rFonts w:ascii="Garamond" w:hAnsi="Garamond"/>
                <w:sz w:val="20"/>
              </w:rPr>
              <w:t>90</w:t>
            </w:r>
          </w:p>
        </w:tc>
        <w:tc>
          <w:tcPr>
            <w:tcW w:w="1620" w:type="dxa"/>
          </w:tcPr>
          <w:p w14:paraId="41E17056" w14:textId="77777777" w:rsidR="006A5800" w:rsidRPr="00D769A1" w:rsidRDefault="006A5800" w:rsidP="00B84F32">
            <w:pPr>
              <w:rPr>
                <w:rFonts w:ascii="Garamond" w:hAnsi="Garamond"/>
                <w:sz w:val="20"/>
              </w:rPr>
            </w:pPr>
            <w:r w:rsidRPr="00D769A1">
              <w:rPr>
                <w:rFonts w:ascii="Garamond" w:hAnsi="Garamond"/>
                <w:sz w:val="20"/>
              </w:rPr>
              <w:t>Donna Trimm</w:t>
            </w:r>
          </w:p>
        </w:tc>
        <w:tc>
          <w:tcPr>
            <w:tcW w:w="4495" w:type="dxa"/>
            <w:vAlign w:val="bottom"/>
          </w:tcPr>
          <w:p w14:paraId="009F6990" w14:textId="77777777" w:rsidR="006A5800" w:rsidRPr="00D769A1" w:rsidRDefault="006A5800" w:rsidP="00B84F32">
            <w:pPr>
              <w:rPr>
                <w:rFonts w:ascii="Garamond" w:hAnsi="Garamond"/>
                <w:color w:val="000000"/>
                <w:sz w:val="20"/>
              </w:rPr>
            </w:pPr>
            <w:r w:rsidRPr="00D769A1">
              <w:rPr>
                <w:rFonts w:ascii="Garamond" w:hAnsi="Garamond"/>
                <w:color w:val="000000"/>
                <w:sz w:val="20"/>
              </w:rPr>
              <w:t>Strategies to avoid plagiarism, discussion of summary/paraphrase/quotations, intro to APA style</w:t>
            </w:r>
          </w:p>
        </w:tc>
      </w:tr>
      <w:tr w:rsidR="006A5800" w:rsidRPr="00D769A1" w14:paraId="0F07B744" w14:textId="77777777" w:rsidTr="00B84F32">
        <w:tc>
          <w:tcPr>
            <w:tcW w:w="1885" w:type="dxa"/>
          </w:tcPr>
          <w:p w14:paraId="13474281" w14:textId="77777777" w:rsidR="006A5800" w:rsidRPr="00D769A1" w:rsidRDefault="006A5800" w:rsidP="00B84F32">
            <w:pPr>
              <w:rPr>
                <w:rFonts w:ascii="Garamond" w:hAnsi="Garamond"/>
                <w:sz w:val="20"/>
              </w:rPr>
            </w:pPr>
            <w:r w:rsidRPr="00D769A1">
              <w:rPr>
                <w:rFonts w:ascii="Garamond" w:hAnsi="Garamond"/>
                <w:sz w:val="20"/>
              </w:rPr>
              <w:t>NSG 390</w:t>
            </w:r>
          </w:p>
        </w:tc>
        <w:tc>
          <w:tcPr>
            <w:tcW w:w="1350" w:type="dxa"/>
          </w:tcPr>
          <w:p w14:paraId="2FCF1705" w14:textId="77777777" w:rsidR="006A5800" w:rsidRPr="00D769A1" w:rsidRDefault="006A5800" w:rsidP="00B84F32">
            <w:pPr>
              <w:rPr>
                <w:rFonts w:ascii="Garamond" w:hAnsi="Garamond"/>
                <w:sz w:val="20"/>
              </w:rPr>
            </w:pPr>
            <w:r w:rsidRPr="00D769A1">
              <w:rPr>
                <w:rFonts w:ascii="Garamond" w:hAnsi="Garamond"/>
                <w:sz w:val="20"/>
              </w:rPr>
              <w:t>45</w:t>
            </w:r>
          </w:p>
        </w:tc>
        <w:tc>
          <w:tcPr>
            <w:tcW w:w="1620" w:type="dxa"/>
          </w:tcPr>
          <w:p w14:paraId="36B2F196" w14:textId="77777777" w:rsidR="006A5800" w:rsidRPr="00D769A1" w:rsidRDefault="006A5800" w:rsidP="00B84F32">
            <w:pPr>
              <w:rPr>
                <w:rFonts w:ascii="Garamond" w:hAnsi="Garamond"/>
                <w:sz w:val="20"/>
              </w:rPr>
            </w:pPr>
            <w:r w:rsidRPr="00D769A1">
              <w:rPr>
                <w:rFonts w:ascii="Garamond" w:hAnsi="Garamond"/>
                <w:sz w:val="20"/>
              </w:rPr>
              <w:t>Chris Maphis</w:t>
            </w:r>
          </w:p>
        </w:tc>
        <w:tc>
          <w:tcPr>
            <w:tcW w:w="4495" w:type="dxa"/>
          </w:tcPr>
          <w:p w14:paraId="09EAC802" w14:textId="77777777" w:rsidR="006A5800" w:rsidRPr="00D769A1" w:rsidRDefault="006A5800" w:rsidP="00B84F32">
            <w:pPr>
              <w:rPr>
                <w:rFonts w:ascii="Garamond" w:hAnsi="Garamond"/>
                <w:sz w:val="20"/>
              </w:rPr>
            </w:pPr>
            <w:r w:rsidRPr="00D769A1">
              <w:rPr>
                <w:rFonts w:ascii="Garamond" w:hAnsi="Garamond"/>
                <w:sz w:val="20"/>
              </w:rPr>
              <w:t>Guided peer review workshop for chronic illness paper</w:t>
            </w:r>
          </w:p>
        </w:tc>
      </w:tr>
      <w:tr w:rsidR="006A5800" w:rsidRPr="00D769A1" w14:paraId="469B6557" w14:textId="77777777" w:rsidTr="00B84F32">
        <w:tc>
          <w:tcPr>
            <w:tcW w:w="1885" w:type="dxa"/>
          </w:tcPr>
          <w:p w14:paraId="360E6A92" w14:textId="77777777" w:rsidR="006A5800" w:rsidRPr="00D769A1" w:rsidRDefault="006A5800" w:rsidP="00B84F32">
            <w:pPr>
              <w:rPr>
                <w:rFonts w:ascii="Garamond" w:hAnsi="Garamond"/>
                <w:sz w:val="20"/>
              </w:rPr>
            </w:pPr>
            <w:r w:rsidRPr="00D769A1">
              <w:rPr>
                <w:rFonts w:ascii="Garamond" w:hAnsi="Garamond"/>
                <w:sz w:val="20"/>
              </w:rPr>
              <w:t>NSG 450</w:t>
            </w:r>
          </w:p>
        </w:tc>
        <w:tc>
          <w:tcPr>
            <w:tcW w:w="1350" w:type="dxa"/>
          </w:tcPr>
          <w:p w14:paraId="621B25B9" w14:textId="77777777" w:rsidR="006A5800" w:rsidRPr="00D769A1" w:rsidRDefault="006A5800" w:rsidP="00B84F32">
            <w:pPr>
              <w:rPr>
                <w:rFonts w:ascii="Garamond" w:hAnsi="Garamond"/>
                <w:sz w:val="20"/>
              </w:rPr>
            </w:pPr>
            <w:r w:rsidRPr="00D769A1">
              <w:rPr>
                <w:rFonts w:ascii="Garamond" w:hAnsi="Garamond"/>
                <w:sz w:val="20"/>
              </w:rPr>
              <w:t>90</w:t>
            </w:r>
          </w:p>
        </w:tc>
        <w:tc>
          <w:tcPr>
            <w:tcW w:w="1620" w:type="dxa"/>
          </w:tcPr>
          <w:p w14:paraId="46831D5F" w14:textId="77777777" w:rsidR="006A5800" w:rsidRPr="00D769A1" w:rsidRDefault="006A5800" w:rsidP="00B84F32">
            <w:pPr>
              <w:rPr>
                <w:rFonts w:ascii="Garamond" w:hAnsi="Garamond"/>
                <w:sz w:val="20"/>
              </w:rPr>
            </w:pPr>
            <w:r w:rsidRPr="00D769A1">
              <w:rPr>
                <w:rFonts w:ascii="Garamond" w:hAnsi="Garamond"/>
                <w:sz w:val="20"/>
              </w:rPr>
              <w:t>Linda Sobel</w:t>
            </w:r>
          </w:p>
        </w:tc>
        <w:tc>
          <w:tcPr>
            <w:tcW w:w="4495" w:type="dxa"/>
          </w:tcPr>
          <w:p w14:paraId="2F0AA652" w14:textId="77777777" w:rsidR="006A5800" w:rsidRPr="00D769A1" w:rsidRDefault="006A5800" w:rsidP="00B84F32">
            <w:pPr>
              <w:rPr>
                <w:rFonts w:ascii="Garamond" w:hAnsi="Garamond"/>
                <w:sz w:val="20"/>
              </w:rPr>
            </w:pPr>
            <w:r w:rsidRPr="00D769A1">
              <w:rPr>
                <w:rFonts w:ascii="Garamond" w:hAnsi="Garamond"/>
                <w:sz w:val="20"/>
              </w:rPr>
              <w:t>Strategies for writing integrative reviews</w:t>
            </w:r>
          </w:p>
        </w:tc>
      </w:tr>
      <w:tr w:rsidR="006A5800" w:rsidRPr="00D769A1" w14:paraId="1DA18667" w14:textId="77777777" w:rsidTr="00B84F32">
        <w:tc>
          <w:tcPr>
            <w:tcW w:w="1885" w:type="dxa"/>
          </w:tcPr>
          <w:p w14:paraId="528B945E" w14:textId="77777777" w:rsidR="006A5800" w:rsidRPr="00D769A1" w:rsidRDefault="006A5800" w:rsidP="00B84F32">
            <w:pPr>
              <w:rPr>
                <w:rFonts w:ascii="Garamond" w:hAnsi="Garamond"/>
                <w:sz w:val="20"/>
              </w:rPr>
            </w:pPr>
            <w:r>
              <w:rPr>
                <w:rFonts w:ascii="Garamond" w:hAnsi="Garamond"/>
                <w:sz w:val="20"/>
              </w:rPr>
              <w:t>RN-BSN Orientation</w:t>
            </w:r>
          </w:p>
        </w:tc>
        <w:tc>
          <w:tcPr>
            <w:tcW w:w="1350" w:type="dxa"/>
          </w:tcPr>
          <w:p w14:paraId="4FC7CB37" w14:textId="77777777" w:rsidR="006A5800" w:rsidRPr="00D769A1" w:rsidRDefault="006A5800" w:rsidP="00B84F32">
            <w:pPr>
              <w:rPr>
                <w:rFonts w:ascii="Garamond" w:hAnsi="Garamond"/>
                <w:sz w:val="20"/>
              </w:rPr>
            </w:pPr>
            <w:r>
              <w:rPr>
                <w:rFonts w:ascii="Garamond" w:hAnsi="Garamond"/>
                <w:sz w:val="20"/>
              </w:rPr>
              <w:t>35</w:t>
            </w:r>
          </w:p>
        </w:tc>
        <w:tc>
          <w:tcPr>
            <w:tcW w:w="1620" w:type="dxa"/>
          </w:tcPr>
          <w:p w14:paraId="3ECBDA7E" w14:textId="77777777" w:rsidR="006A5800" w:rsidRPr="00D769A1" w:rsidRDefault="006A5800" w:rsidP="00B84F32">
            <w:pPr>
              <w:rPr>
                <w:rFonts w:ascii="Garamond" w:hAnsi="Garamond"/>
                <w:sz w:val="20"/>
              </w:rPr>
            </w:pPr>
            <w:r>
              <w:rPr>
                <w:rFonts w:ascii="Garamond" w:hAnsi="Garamond"/>
                <w:sz w:val="20"/>
              </w:rPr>
              <w:t>Nena Powell</w:t>
            </w:r>
          </w:p>
        </w:tc>
        <w:tc>
          <w:tcPr>
            <w:tcW w:w="4495" w:type="dxa"/>
            <w:vAlign w:val="bottom"/>
          </w:tcPr>
          <w:p w14:paraId="2D89E1A0" w14:textId="77777777" w:rsidR="006A5800" w:rsidRPr="00D769A1" w:rsidRDefault="006A5800" w:rsidP="00B84F32">
            <w:pPr>
              <w:rPr>
                <w:rFonts w:ascii="Garamond" w:hAnsi="Garamond"/>
                <w:color w:val="000000"/>
                <w:sz w:val="20"/>
              </w:rPr>
            </w:pPr>
            <w:r>
              <w:rPr>
                <w:rFonts w:ascii="Garamond" w:hAnsi="Garamond"/>
                <w:color w:val="000000"/>
                <w:sz w:val="20"/>
              </w:rPr>
              <w:t xml:space="preserve">Introduction to science writing, reading scholarly articles, thesis statements, and APA style. </w:t>
            </w:r>
          </w:p>
        </w:tc>
      </w:tr>
      <w:tr w:rsidR="006A5800" w:rsidRPr="00D769A1" w14:paraId="50F3B3DD" w14:textId="77777777" w:rsidTr="00B84F32">
        <w:tc>
          <w:tcPr>
            <w:tcW w:w="1885" w:type="dxa"/>
          </w:tcPr>
          <w:p w14:paraId="58ADD7A3" w14:textId="77777777" w:rsidR="006A5800" w:rsidRPr="00D769A1" w:rsidRDefault="006A5800" w:rsidP="00B84F32">
            <w:pPr>
              <w:rPr>
                <w:rFonts w:ascii="Garamond" w:hAnsi="Garamond"/>
                <w:sz w:val="20"/>
              </w:rPr>
            </w:pPr>
            <w:r w:rsidRPr="00D769A1">
              <w:rPr>
                <w:rFonts w:ascii="Garamond" w:hAnsi="Garamond"/>
                <w:sz w:val="20"/>
              </w:rPr>
              <w:t xml:space="preserve">Doctoral Psychology </w:t>
            </w:r>
          </w:p>
        </w:tc>
        <w:tc>
          <w:tcPr>
            <w:tcW w:w="1350" w:type="dxa"/>
          </w:tcPr>
          <w:p w14:paraId="2036673A" w14:textId="77777777" w:rsidR="006A5800" w:rsidRPr="00D769A1" w:rsidRDefault="006A5800" w:rsidP="00B84F32">
            <w:pPr>
              <w:rPr>
                <w:rFonts w:ascii="Garamond" w:hAnsi="Garamond"/>
                <w:sz w:val="20"/>
              </w:rPr>
            </w:pPr>
            <w:r w:rsidRPr="00D769A1">
              <w:rPr>
                <w:rFonts w:ascii="Garamond" w:hAnsi="Garamond"/>
                <w:sz w:val="20"/>
              </w:rPr>
              <w:t>6</w:t>
            </w:r>
          </w:p>
        </w:tc>
        <w:tc>
          <w:tcPr>
            <w:tcW w:w="1620" w:type="dxa"/>
          </w:tcPr>
          <w:p w14:paraId="6222DBD5" w14:textId="77777777" w:rsidR="006A5800" w:rsidRPr="00D769A1" w:rsidRDefault="006A5800" w:rsidP="00B84F32">
            <w:pPr>
              <w:rPr>
                <w:rFonts w:ascii="Garamond" w:hAnsi="Garamond"/>
                <w:sz w:val="20"/>
              </w:rPr>
            </w:pPr>
            <w:r w:rsidRPr="00D769A1">
              <w:rPr>
                <w:rFonts w:ascii="Garamond" w:hAnsi="Garamond"/>
                <w:sz w:val="20"/>
              </w:rPr>
              <w:t>Anne Stewart</w:t>
            </w:r>
          </w:p>
        </w:tc>
        <w:tc>
          <w:tcPr>
            <w:tcW w:w="4495" w:type="dxa"/>
          </w:tcPr>
          <w:p w14:paraId="6E586A52" w14:textId="77777777" w:rsidR="006A5800" w:rsidRPr="00D769A1" w:rsidRDefault="006A5800" w:rsidP="00B84F32">
            <w:pPr>
              <w:rPr>
                <w:rFonts w:ascii="Garamond" w:hAnsi="Garamond"/>
                <w:sz w:val="20"/>
              </w:rPr>
            </w:pPr>
            <w:r w:rsidRPr="00D769A1">
              <w:rPr>
                <w:rFonts w:ascii="Garamond" w:hAnsi="Garamond"/>
                <w:sz w:val="20"/>
              </w:rPr>
              <w:t>Application essay strategies for post-graduate internships</w:t>
            </w:r>
          </w:p>
        </w:tc>
      </w:tr>
      <w:tr w:rsidR="006A5800" w:rsidRPr="00D769A1" w14:paraId="738306A5" w14:textId="77777777" w:rsidTr="00B84F32">
        <w:tc>
          <w:tcPr>
            <w:tcW w:w="1885" w:type="dxa"/>
          </w:tcPr>
          <w:p w14:paraId="30480AAA" w14:textId="77777777" w:rsidR="006A5800" w:rsidRPr="00D769A1" w:rsidRDefault="006A5800" w:rsidP="00B84F32">
            <w:pPr>
              <w:rPr>
                <w:rFonts w:ascii="Garamond" w:hAnsi="Garamond"/>
                <w:sz w:val="20"/>
              </w:rPr>
            </w:pPr>
            <w:r w:rsidRPr="00D769A1">
              <w:rPr>
                <w:rFonts w:ascii="Garamond" w:hAnsi="Garamond"/>
                <w:sz w:val="20"/>
              </w:rPr>
              <w:t>Psychological Sciences MA students</w:t>
            </w:r>
          </w:p>
        </w:tc>
        <w:tc>
          <w:tcPr>
            <w:tcW w:w="1350" w:type="dxa"/>
          </w:tcPr>
          <w:p w14:paraId="56CDEC61" w14:textId="77777777" w:rsidR="006A5800" w:rsidRPr="00D769A1" w:rsidRDefault="006A5800" w:rsidP="00B84F32">
            <w:pPr>
              <w:rPr>
                <w:rFonts w:ascii="Garamond" w:hAnsi="Garamond"/>
                <w:sz w:val="20"/>
              </w:rPr>
            </w:pPr>
            <w:r w:rsidRPr="00D769A1">
              <w:rPr>
                <w:rFonts w:ascii="Garamond" w:hAnsi="Garamond"/>
                <w:sz w:val="20"/>
              </w:rPr>
              <w:t>90</w:t>
            </w:r>
          </w:p>
        </w:tc>
        <w:tc>
          <w:tcPr>
            <w:tcW w:w="1620" w:type="dxa"/>
          </w:tcPr>
          <w:p w14:paraId="34F23029" w14:textId="77777777" w:rsidR="006A5800" w:rsidRPr="00D769A1" w:rsidRDefault="006A5800" w:rsidP="00B84F32">
            <w:pPr>
              <w:rPr>
                <w:rFonts w:ascii="Garamond" w:hAnsi="Garamond"/>
                <w:sz w:val="20"/>
              </w:rPr>
            </w:pPr>
            <w:r w:rsidRPr="00D769A1">
              <w:rPr>
                <w:rFonts w:ascii="Garamond" w:hAnsi="Garamond"/>
                <w:sz w:val="20"/>
              </w:rPr>
              <w:t>Michael Hall</w:t>
            </w:r>
          </w:p>
        </w:tc>
        <w:tc>
          <w:tcPr>
            <w:tcW w:w="4495" w:type="dxa"/>
          </w:tcPr>
          <w:p w14:paraId="4A2E7673" w14:textId="77777777" w:rsidR="006A5800" w:rsidRPr="00D769A1" w:rsidRDefault="006A5800" w:rsidP="00B84F32">
            <w:pPr>
              <w:rPr>
                <w:rFonts w:ascii="Garamond" w:hAnsi="Garamond"/>
                <w:sz w:val="20"/>
              </w:rPr>
            </w:pPr>
            <w:r w:rsidRPr="00D769A1">
              <w:rPr>
                <w:rFonts w:ascii="Garamond" w:hAnsi="Garamond"/>
                <w:sz w:val="20"/>
              </w:rPr>
              <w:t>Types of literature reviews in psychological sciences and strategies for writing them</w:t>
            </w:r>
          </w:p>
        </w:tc>
      </w:tr>
      <w:tr w:rsidR="006A5800" w:rsidRPr="00D769A1" w14:paraId="78408A27" w14:textId="77777777" w:rsidTr="00B84F32">
        <w:tc>
          <w:tcPr>
            <w:tcW w:w="9350" w:type="dxa"/>
            <w:gridSpan w:val="4"/>
            <w:shd w:val="clear" w:color="auto" w:fill="D9D9D9" w:themeFill="background1" w:themeFillShade="D9"/>
          </w:tcPr>
          <w:p w14:paraId="04A2E53A" w14:textId="77777777" w:rsidR="006A5800" w:rsidRPr="00D769A1" w:rsidRDefault="006A5800" w:rsidP="00B84F32">
            <w:pPr>
              <w:rPr>
                <w:rFonts w:ascii="Garamond" w:hAnsi="Garamond"/>
                <w:b/>
                <w:sz w:val="20"/>
              </w:rPr>
            </w:pPr>
            <w:r>
              <w:rPr>
                <w:rFonts w:ascii="Garamond" w:hAnsi="Garamond"/>
                <w:b/>
                <w:sz w:val="20"/>
              </w:rPr>
              <w:t>SPRING 2015</w:t>
            </w:r>
          </w:p>
        </w:tc>
      </w:tr>
      <w:tr w:rsidR="006A5800" w:rsidRPr="00D769A1" w14:paraId="5A021E3E" w14:textId="77777777" w:rsidTr="00B84F32">
        <w:tc>
          <w:tcPr>
            <w:tcW w:w="1885" w:type="dxa"/>
          </w:tcPr>
          <w:p w14:paraId="5F010130" w14:textId="77777777" w:rsidR="006A5800" w:rsidRPr="00D769A1" w:rsidRDefault="006A5800" w:rsidP="00B84F32">
            <w:pPr>
              <w:rPr>
                <w:rFonts w:ascii="Garamond" w:hAnsi="Garamond"/>
                <w:sz w:val="20"/>
              </w:rPr>
            </w:pPr>
            <w:r>
              <w:rPr>
                <w:rFonts w:ascii="Garamond" w:hAnsi="Garamond"/>
                <w:sz w:val="20"/>
              </w:rPr>
              <w:t>HTH 150 (x3)</w:t>
            </w:r>
          </w:p>
        </w:tc>
        <w:tc>
          <w:tcPr>
            <w:tcW w:w="1350" w:type="dxa"/>
          </w:tcPr>
          <w:p w14:paraId="44977491" w14:textId="77777777" w:rsidR="006A5800" w:rsidRPr="00D769A1" w:rsidRDefault="006A5800" w:rsidP="00B84F32">
            <w:pPr>
              <w:rPr>
                <w:rFonts w:ascii="Garamond" w:hAnsi="Garamond"/>
                <w:sz w:val="20"/>
              </w:rPr>
            </w:pPr>
            <w:r>
              <w:rPr>
                <w:rFonts w:ascii="Garamond" w:hAnsi="Garamond"/>
                <w:sz w:val="20"/>
              </w:rPr>
              <w:t>163</w:t>
            </w:r>
          </w:p>
        </w:tc>
        <w:tc>
          <w:tcPr>
            <w:tcW w:w="1620" w:type="dxa"/>
          </w:tcPr>
          <w:p w14:paraId="015FA842" w14:textId="77777777" w:rsidR="006A5800" w:rsidRPr="00D769A1" w:rsidRDefault="006A5800" w:rsidP="00B84F32">
            <w:pPr>
              <w:rPr>
                <w:rFonts w:ascii="Garamond" w:hAnsi="Garamond"/>
                <w:sz w:val="20"/>
              </w:rPr>
            </w:pPr>
            <w:r>
              <w:rPr>
                <w:rFonts w:ascii="Garamond" w:hAnsi="Garamond"/>
                <w:sz w:val="20"/>
              </w:rPr>
              <w:t>Tim Howley</w:t>
            </w:r>
          </w:p>
        </w:tc>
        <w:tc>
          <w:tcPr>
            <w:tcW w:w="4495" w:type="dxa"/>
          </w:tcPr>
          <w:p w14:paraId="4DC6ADB0" w14:textId="77777777" w:rsidR="006A5800" w:rsidRPr="00D769A1" w:rsidRDefault="006A5800" w:rsidP="00B84F32">
            <w:pPr>
              <w:rPr>
                <w:rFonts w:ascii="Garamond" w:hAnsi="Garamond"/>
                <w:color w:val="000000"/>
                <w:sz w:val="20"/>
              </w:rPr>
            </w:pPr>
            <w:r>
              <w:rPr>
                <w:rFonts w:ascii="Garamond" w:hAnsi="Garamond"/>
                <w:color w:val="000000"/>
                <w:sz w:val="20"/>
              </w:rPr>
              <w:t xml:space="preserve">“The Writing Situation” (audience, purpose, and genre)in the Health Sciences </w:t>
            </w:r>
          </w:p>
        </w:tc>
      </w:tr>
      <w:tr w:rsidR="006A5800" w:rsidRPr="00D769A1" w14:paraId="3C922F61" w14:textId="77777777" w:rsidTr="00B84F32">
        <w:tc>
          <w:tcPr>
            <w:tcW w:w="1885" w:type="dxa"/>
          </w:tcPr>
          <w:p w14:paraId="1E4F05A5" w14:textId="77777777" w:rsidR="006A5800" w:rsidRPr="00D769A1" w:rsidRDefault="006A5800" w:rsidP="00B84F32">
            <w:pPr>
              <w:rPr>
                <w:rFonts w:ascii="Garamond" w:hAnsi="Garamond"/>
                <w:sz w:val="20"/>
              </w:rPr>
            </w:pPr>
            <w:r>
              <w:rPr>
                <w:rFonts w:ascii="Garamond" w:hAnsi="Garamond"/>
                <w:sz w:val="20"/>
              </w:rPr>
              <w:t>KIN 655</w:t>
            </w:r>
          </w:p>
        </w:tc>
        <w:tc>
          <w:tcPr>
            <w:tcW w:w="1350" w:type="dxa"/>
          </w:tcPr>
          <w:p w14:paraId="58984B9A" w14:textId="77777777" w:rsidR="006A5800" w:rsidRPr="00D769A1" w:rsidRDefault="006A5800" w:rsidP="00B84F32">
            <w:pPr>
              <w:rPr>
                <w:rFonts w:ascii="Garamond" w:hAnsi="Garamond"/>
                <w:sz w:val="20"/>
              </w:rPr>
            </w:pPr>
            <w:r>
              <w:rPr>
                <w:rFonts w:ascii="Garamond" w:hAnsi="Garamond"/>
                <w:sz w:val="20"/>
              </w:rPr>
              <w:t>9</w:t>
            </w:r>
          </w:p>
        </w:tc>
        <w:tc>
          <w:tcPr>
            <w:tcW w:w="1620" w:type="dxa"/>
          </w:tcPr>
          <w:p w14:paraId="659949C8" w14:textId="77777777" w:rsidR="006A5800" w:rsidRPr="00D769A1" w:rsidRDefault="006A5800" w:rsidP="00B84F32">
            <w:pPr>
              <w:rPr>
                <w:rFonts w:ascii="Garamond" w:hAnsi="Garamond"/>
                <w:sz w:val="20"/>
              </w:rPr>
            </w:pPr>
            <w:r>
              <w:rPr>
                <w:rFonts w:ascii="Garamond" w:hAnsi="Garamond"/>
                <w:sz w:val="20"/>
              </w:rPr>
              <w:t>Chris Womack</w:t>
            </w:r>
          </w:p>
        </w:tc>
        <w:tc>
          <w:tcPr>
            <w:tcW w:w="4495" w:type="dxa"/>
          </w:tcPr>
          <w:p w14:paraId="44B05AA4" w14:textId="77777777" w:rsidR="006A5800" w:rsidRPr="00D769A1" w:rsidRDefault="006A5800" w:rsidP="00B84F32">
            <w:pPr>
              <w:rPr>
                <w:rFonts w:ascii="Garamond" w:hAnsi="Garamond"/>
                <w:color w:val="000000"/>
                <w:sz w:val="20"/>
              </w:rPr>
            </w:pPr>
            <w:r>
              <w:rPr>
                <w:rFonts w:ascii="Garamond" w:hAnsi="Garamond"/>
                <w:color w:val="000000"/>
                <w:sz w:val="20"/>
              </w:rPr>
              <w:t>Discussion in the empirical research paper</w:t>
            </w:r>
          </w:p>
        </w:tc>
      </w:tr>
      <w:tr w:rsidR="006A5800" w:rsidRPr="00D769A1" w14:paraId="02854A24" w14:textId="77777777" w:rsidTr="00B84F32">
        <w:tc>
          <w:tcPr>
            <w:tcW w:w="1885" w:type="dxa"/>
          </w:tcPr>
          <w:p w14:paraId="4F3061FF" w14:textId="77777777" w:rsidR="006A5800" w:rsidRPr="00D769A1" w:rsidRDefault="006A5800" w:rsidP="00B84F32">
            <w:pPr>
              <w:rPr>
                <w:rFonts w:ascii="Garamond" w:hAnsi="Garamond"/>
                <w:sz w:val="20"/>
              </w:rPr>
            </w:pPr>
            <w:r w:rsidRPr="00D769A1">
              <w:rPr>
                <w:rFonts w:ascii="Garamond" w:hAnsi="Garamond"/>
                <w:sz w:val="20"/>
              </w:rPr>
              <w:t>NSG 350 (x2)</w:t>
            </w:r>
          </w:p>
        </w:tc>
        <w:tc>
          <w:tcPr>
            <w:tcW w:w="1350" w:type="dxa"/>
          </w:tcPr>
          <w:p w14:paraId="0E2C519A" w14:textId="77777777" w:rsidR="006A5800" w:rsidRPr="00D769A1" w:rsidRDefault="006A5800" w:rsidP="00B84F32">
            <w:pPr>
              <w:rPr>
                <w:rFonts w:ascii="Garamond" w:hAnsi="Garamond"/>
                <w:sz w:val="20"/>
              </w:rPr>
            </w:pPr>
            <w:r w:rsidRPr="00D769A1">
              <w:rPr>
                <w:rFonts w:ascii="Garamond" w:hAnsi="Garamond"/>
                <w:sz w:val="20"/>
              </w:rPr>
              <w:t>90</w:t>
            </w:r>
          </w:p>
        </w:tc>
        <w:tc>
          <w:tcPr>
            <w:tcW w:w="1620" w:type="dxa"/>
          </w:tcPr>
          <w:p w14:paraId="55432BE1" w14:textId="77777777" w:rsidR="006A5800" w:rsidRPr="00D769A1" w:rsidRDefault="006A5800" w:rsidP="00B84F32">
            <w:pPr>
              <w:rPr>
                <w:rFonts w:ascii="Garamond" w:hAnsi="Garamond"/>
                <w:sz w:val="20"/>
              </w:rPr>
            </w:pPr>
            <w:r w:rsidRPr="00D769A1">
              <w:rPr>
                <w:rFonts w:ascii="Garamond" w:hAnsi="Garamond"/>
                <w:sz w:val="20"/>
              </w:rPr>
              <w:t>Donna Trimm</w:t>
            </w:r>
          </w:p>
        </w:tc>
        <w:tc>
          <w:tcPr>
            <w:tcW w:w="4495" w:type="dxa"/>
          </w:tcPr>
          <w:p w14:paraId="0CF733A7" w14:textId="77777777" w:rsidR="006A5800" w:rsidRPr="00D769A1" w:rsidRDefault="006A5800" w:rsidP="00B84F32">
            <w:pPr>
              <w:rPr>
                <w:rFonts w:ascii="Garamond" w:hAnsi="Garamond"/>
                <w:color w:val="000000"/>
                <w:sz w:val="20"/>
              </w:rPr>
            </w:pPr>
            <w:r w:rsidRPr="00D769A1">
              <w:rPr>
                <w:rFonts w:ascii="Garamond" w:hAnsi="Garamond"/>
                <w:color w:val="000000"/>
                <w:sz w:val="20"/>
              </w:rPr>
              <w:t>Strategies to avoid plagiarism, discussion of summary/paraphrase/quotations, intro to APA style</w:t>
            </w:r>
          </w:p>
        </w:tc>
      </w:tr>
      <w:tr w:rsidR="006A5800" w:rsidRPr="00D769A1" w14:paraId="6916C99D" w14:textId="77777777" w:rsidTr="00B84F32">
        <w:tc>
          <w:tcPr>
            <w:tcW w:w="1885" w:type="dxa"/>
          </w:tcPr>
          <w:p w14:paraId="4E79EA98" w14:textId="77777777" w:rsidR="006A5800" w:rsidRPr="00D769A1" w:rsidRDefault="006A5800" w:rsidP="00B84F32">
            <w:pPr>
              <w:rPr>
                <w:rFonts w:ascii="Garamond" w:hAnsi="Garamond"/>
                <w:sz w:val="20"/>
              </w:rPr>
            </w:pPr>
            <w:r w:rsidRPr="00D769A1">
              <w:rPr>
                <w:rFonts w:ascii="Garamond" w:hAnsi="Garamond"/>
                <w:sz w:val="20"/>
              </w:rPr>
              <w:t>NSG 390</w:t>
            </w:r>
          </w:p>
        </w:tc>
        <w:tc>
          <w:tcPr>
            <w:tcW w:w="1350" w:type="dxa"/>
          </w:tcPr>
          <w:p w14:paraId="3629A6CF" w14:textId="77777777" w:rsidR="006A5800" w:rsidRPr="00D769A1" w:rsidRDefault="006A5800" w:rsidP="00B84F32">
            <w:pPr>
              <w:rPr>
                <w:rFonts w:ascii="Garamond" w:hAnsi="Garamond"/>
                <w:sz w:val="20"/>
              </w:rPr>
            </w:pPr>
            <w:r w:rsidRPr="00D769A1">
              <w:rPr>
                <w:rFonts w:ascii="Garamond" w:hAnsi="Garamond"/>
                <w:sz w:val="20"/>
              </w:rPr>
              <w:t>45</w:t>
            </w:r>
          </w:p>
        </w:tc>
        <w:tc>
          <w:tcPr>
            <w:tcW w:w="1620" w:type="dxa"/>
          </w:tcPr>
          <w:p w14:paraId="76F118A8" w14:textId="77777777" w:rsidR="006A5800" w:rsidRPr="00D769A1" w:rsidRDefault="006A5800" w:rsidP="00B84F32">
            <w:pPr>
              <w:rPr>
                <w:rFonts w:ascii="Garamond" w:hAnsi="Garamond"/>
                <w:sz w:val="20"/>
              </w:rPr>
            </w:pPr>
            <w:r w:rsidRPr="00D769A1">
              <w:rPr>
                <w:rFonts w:ascii="Garamond" w:hAnsi="Garamond"/>
                <w:sz w:val="20"/>
              </w:rPr>
              <w:t>Chris Maphis</w:t>
            </w:r>
          </w:p>
        </w:tc>
        <w:tc>
          <w:tcPr>
            <w:tcW w:w="4495" w:type="dxa"/>
          </w:tcPr>
          <w:p w14:paraId="1A4BCD7C" w14:textId="77777777" w:rsidR="006A5800" w:rsidRPr="00D769A1" w:rsidRDefault="006A5800" w:rsidP="00B84F32">
            <w:pPr>
              <w:rPr>
                <w:rFonts w:ascii="Garamond" w:hAnsi="Garamond"/>
                <w:sz w:val="20"/>
              </w:rPr>
            </w:pPr>
            <w:r w:rsidRPr="00D769A1">
              <w:rPr>
                <w:rFonts w:ascii="Garamond" w:hAnsi="Garamond"/>
                <w:sz w:val="20"/>
              </w:rPr>
              <w:t>Guided peer review workshop for chronic illness paper</w:t>
            </w:r>
          </w:p>
        </w:tc>
      </w:tr>
      <w:tr w:rsidR="006A5800" w:rsidRPr="00D769A1" w14:paraId="77C3BFF4" w14:textId="77777777" w:rsidTr="00B84F32">
        <w:tc>
          <w:tcPr>
            <w:tcW w:w="1885" w:type="dxa"/>
          </w:tcPr>
          <w:p w14:paraId="2A417563" w14:textId="77777777" w:rsidR="006A5800" w:rsidRPr="00D769A1" w:rsidRDefault="006A5800" w:rsidP="00B84F32">
            <w:pPr>
              <w:rPr>
                <w:rFonts w:ascii="Garamond" w:hAnsi="Garamond"/>
                <w:sz w:val="20"/>
              </w:rPr>
            </w:pPr>
            <w:r w:rsidRPr="00D769A1">
              <w:rPr>
                <w:rFonts w:ascii="Garamond" w:hAnsi="Garamond"/>
                <w:sz w:val="20"/>
              </w:rPr>
              <w:t>NSG 450</w:t>
            </w:r>
          </w:p>
        </w:tc>
        <w:tc>
          <w:tcPr>
            <w:tcW w:w="1350" w:type="dxa"/>
          </w:tcPr>
          <w:p w14:paraId="2C411947" w14:textId="77777777" w:rsidR="006A5800" w:rsidRPr="00D769A1" w:rsidRDefault="006A5800" w:rsidP="00B84F32">
            <w:pPr>
              <w:rPr>
                <w:rFonts w:ascii="Garamond" w:hAnsi="Garamond"/>
                <w:sz w:val="20"/>
              </w:rPr>
            </w:pPr>
            <w:r w:rsidRPr="00D769A1">
              <w:rPr>
                <w:rFonts w:ascii="Garamond" w:hAnsi="Garamond"/>
                <w:sz w:val="20"/>
              </w:rPr>
              <w:t>90</w:t>
            </w:r>
          </w:p>
        </w:tc>
        <w:tc>
          <w:tcPr>
            <w:tcW w:w="1620" w:type="dxa"/>
          </w:tcPr>
          <w:p w14:paraId="5873891D" w14:textId="77777777" w:rsidR="006A5800" w:rsidRPr="00D769A1" w:rsidRDefault="006A5800" w:rsidP="00B84F32">
            <w:pPr>
              <w:rPr>
                <w:rFonts w:ascii="Garamond" w:hAnsi="Garamond"/>
                <w:sz w:val="20"/>
              </w:rPr>
            </w:pPr>
            <w:r w:rsidRPr="00D769A1">
              <w:rPr>
                <w:rFonts w:ascii="Garamond" w:hAnsi="Garamond"/>
                <w:sz w:val="20"/>
              </w:rPr>
              <w:t>Linda Sobel</w:t>
            </w:r>
          </w:p>
        </w:tc>
        <w:tc>
          <w:tcPr>
            <w:tcW w:w="4495" w:type="dxa"/>
          </w:tcPr>
          <w:p w14:paraId="636012F2" w14:textId="77777777" w:rsidR="006A5800" w:rsidRPr="00D769A1" w:rsidRDefault="006A5800" w:rsidP="00B84F32">
            <w:pPr>
              <w:rPr>
                <w:rFonts w:ascii="Garamond" w:hAnsi="Garamond"/>
                <w:sz w:val="20"/>
              </w:rPr>
            </w:pPr>
            <w:r w:rsidRPr="00D769A1">
              <w:rPr>
                <w:rFonts w:ascii="Garamond" w:hAnsi="Garamond"/>
                <w:sz w:val="20"/>
              </w:rPr>
              <w:t>Strategies for writing integrative reviews</w:t>
            </w:r>
          </w:p>
        </w:tc>
      </w:tr>
      <w:tr w:rsidR="006A5800" w:rsidRPr="00D769A1" w14:paraId="4F30B9AA" w14:textId="77777777" w:rsidTr="00B84F32">
        <w:tc>
          <w:tcPr>
            <w:tcW w:w="1885" w:type="dxa"/>
          </w:tcPr>
          <w:p w14:paraId="2BA7DF04" w14:textId="77777777" w:rsidR="006A5800" w:rsidRPr="00D769A1" w:rsidRDefault="006A5800" w:rsidP="00B84F32">
            <w:pPr>
              <w:rPr>
                <w:rFonts w:ascii="Garamond" w:hAnsi="Garamond"/>
                <w:sz w:val="20"/>
              </w:rPr>
            </w:pPr>
            <w:r>
              <w:rPr>
                <w:rFonts w:ascii="Garamond" w:hAnsi="Garamond"/>
                <w:sz w:val="20"/>
              </w:rPr>
              <w:t>PSYC 211</w:t>
            </w:r>
          </w:p>
        </w:tc>
        <w:tc>
          <w:tcPr>
            <w:tcW w:w="1350" w:type="dxa"/>
          </w:tcPr>
          <w:p w14:paraId="62235B2B" w14:textId="77777777" w:rsidR="006A5800" w:rsidRPr="00D769A1" w:rsidRDefault="006A5800" w:rsidP="00B84F32">
            <w:pPr>
              <w:rPr>
                <w:rFonts w:ascii="Garamond" w:hAnsi="Garamond"/>
                <w:sz w:val="20"/>
              </w:rPr>
            </w:pPr>
            <w:r>
              <w:rPr>
                <w:rFonts w:ascii="Garamond" w:hAnsi="Garamond"/>
                <w:sz w:val="20"/>
              </w:rPr>
              <w:t>36</w:t>
            </w:r>
          </w:p>
        </w:tc>
        <w:tc>
          <w:tcPr>
            <w:tcW w:w="1620" w:type="dxa"/>
          </w:tcPr>
          <w:p w14:paraId="016D5BBD" w14:textId="77777777" w:rsidR="006A5800" w:rsidRPr="00D769A1" w:rsidRDefault="006A5800" w:rsidP="00B84F32">
            <w:pPr>
              <w:rPr>
                <w:rFonts w:ascii="Garamond" w:hAnsi="Garamond"/>
                <w:sz w:val="20"/>
              </w:rPr>
            </w:pPr>
            <w:r>
              <w:rPr>
                <w:rFonts w:ascii="Garamond" w:hAnsi="Garamond"/>
                <w:sz w:val="20"/>
              </w:rPr>
              <w:t>Kethera Fogler</w:t>
            </w:r>
          </w:p>
        </w:tc>
        <w:tc>
          <w:tcPr>
            <w:tcW w:w="4495" w:type="dxa"/>
          </w:tcPr>
          <w:p w14:paraId="5B651057" w14:textId="77777777" w:rsidR="006A5800" w:rsidRPr="00D769A1" w:rsidRDefault="006A5800" w:rsidP="00B84F32">
            <w:pPr>
              <w:rPr>
                <w:rFonts w:ascii="Garamond" w:hAnsi="Garamond"/>
                <w:sz w:val="20"/>
              </w:rPr>
            </w:pPr>
            <w:r>
              <w:rPr>
                <w:rFonts w:ascii="Garamond" w:hAnsi="Garamond"/>
                <w:sz w:val="20"/>
              </w:rPr>
              <w:t>Argument in the empirical research paper</w:t>
            </w:r>
          </w:p>
        </w:tc>
      </w:tr>
      <w:tr w:rsidR="006A5800" w:rsidRPr="00D769A1" w14:paraId="49FE363C" w14:textId="77777777" w:rsidTr="00B84F32">
        <w:tc>
          <w:tcPr>
            <w:tcW w:w="1885" w:type="dxa"/>
          </w:tcPr>
          <w:p w14:paraId="1B4F8ED2" w14:textId="77777777" w:rsidR="006A5800" w:rsidRPr="00D769A1" w:rsidRDefault="006A5800" w:rsidP="00B84F32">
            <w:pPr>
              <w:rPr>
                <w:rFonts w:ascii="Garamond" w:hAnsi="Garamond"/>
                <w:sz w:val="20"/>
              </w:rPr>
            </w:pPr>
            <w:r>
              <w:rPr>
                <w:rFonts w:ascii="Garamond" w:hAnsi="Garamond"/>
                <w:sz w:val="20"/>
              </w:rPr>
              <w:t>PSYC 825</w:t>
            </w:r>
          </w:p>
        </w:tc>
        <w:tc>
          <w:tcPr>
            <w:tcW w:w="1350" w:type="dxa"/>
          </w:tcPr>
          <w:p w14:paraId="5626BC85" w14:textId="77777777" w:rsidR="006A5800" w:rsidRPr="00D769A1" w:rsidRDefault="006A5800" w:rsidP="00B84F32">
            <w:pPr>
              <w:rPr>
                <w:rFonts w:ascii="Garamond" w:hAnsi="Garamond"/>
                <w:sz w:val="20"/>
              </w:rPr>
            </w:pPr>
            <w:r>
              <w:rPr>
                <w:rFonts w:ascii="Garamond" w:hAnsi="Garamond"/>
                <w:sz w:val="20"/>
              </w:rPr>
              <w:t>6</w:t>
            </w:r>
          </w:p>
        </w:tc>
        <w:tc>
          <w:tcPr>
            <w:tcW w:w="1620" w:type="dxa"/>
          </w:tcPr>
          <w:p w14:paraId="271B16EE" w14:textId="77777777" w:rsidR="006A5800" w:rsidRPr="00D769A1" w:rsidRDefault="006A5800" w:rsidP="00B84F32">
            <w:pPr>
              <w:rPr>
                <w:rFonts w:ascii="Garamond" w:hAnsi="Garamond"/>
                <w:sz w:val="20"/>
              </w:rPr>
            </w:pPr>
            <w:r>
              <w:rPr>
                <w:rFonts w:ascii="Garamond" w:hAnsi="Garamond"/>
                <w:sz w:val="20"/>
              </w:rPr>
              <w:t>Debbi Bandalos</w:t>
            </w:r>
          </w:p>
        </w:tc>
        <w:tc>
          <w:tcPr>
            <w:tcW w:w="4495" w:type="dxa"/>
          </w:tcPr>
          <w:p w14:paraId="554B6F6B" w14:textId="77777777" w:rsidR="006A5800" w:rsidRPr="00D769A1" w:rsidRDefault="006A5800" w:rsidP="00B84F32">
            <w:pPr>
              <w:rPr>
                <w:rFonts w:ascii="Garamond" w:hAnsi="Garamond"/>
                <w:sz w:val="20"/>
              </w:rPr>
            </w:pPr>
            <w:r>
              <w:rPr>
                <w:rFonts w:ascii="Garamond" w:hAnsi="Garamond"/>
                <w:sz w:val="20"/>
              </w:rPr>
              <w:t>Revising empirical journal articles</w:t>
            </w:r>
          </w:p>
        </w:tc>
      </w:tr>
      <w:tr w:rsidR="006A5800" w:rsidRPr="00D769A1" w14:paraId="3FA52AD8" w14:textId="77777777" w:rsidTr="00B84F32">
        <w:tc>
          <w:tcPr>
            <w:tcW w:w="1885" w:type="dxa"/>
          </w:tcPr>
          <w:p w14:paraId="387377E2" w14:textId="77777777" w:rsidR="006A5800" w:rsidRPr="00D769A1" w:rsidRDefault="006A5800" w:rsidP="00B84F32">
            <w:pPr>
              <w:rPr>
                <w:rFonts w:ascii="Garamond" w:hAnsi="Garamond"/>
                <w:sz w:val="20"/>
              </w:rPr>
            </w:pPr>
            <w:r>
              <w:rPr>
                <w:rFonts w:ascii="Garamond" w:hAnsi="Garamond"/>
                <w:sz w:val="20"/>
              </w:rPr>
              <w:t>SMAD Senior Seminar</w:t>
            </w:r>
          </w:p>
        </w:tc>
        <w:tc>
          <w:tcPr>
            <w:tcW w:w="1350" w:type="dxa"/>
          </w:tcPr>
          <w:p w14:paraId="40CAFC02" w14:textId="77777777" w:rsidR="006A5800" w:rsidRPr="00D769A1" w:rsidRDefault="006A5800" w:rsidP="00B84F32">
            <w:pPr>
              <w:rPr>
                <w:rFonts w:ascii="Garamond" w:hAnsi="Garamond"/>
                <w:sz w:val="20"/>
              </w:rPr>
            </w:pPr>
            <w:r>
              <w:rPr>
                <w:rFonts w:ascii="Garamond" w:hAnsi="Garamond"/>
                <w:sz w:val="20"/>
              </w:rPr>
              <w:t>17</w:t>
            </w:r>
          </w:p>
        </w:tc>
        <w:tc>
          <w:tcPr>
            <w:tcW w:w="1620" w:type="dxa"/>
          </w:tcPr>
          <w:p w14:paraId="4632A993" w14:textId="77777777" w:rsidR="006A5800" w:rsidRPr="00D769A1" w:rsidRDefault="006A5800" w:rsidP="00B84F32">
            <w:pPr>
              <w:rPr>
                <w:rFonts w:ascii="Garamond" w:hAnsi="Garamond"/>
                <w:sz w:val="20"/>
              </w:rPr>
            </w:pPr>
            <w:r>
              <w:rPr>
                <w:rFonts w:ascii="Garamond" w:hAnsi="Garamond"/>
                <w:sz w:val="20"/>
              </w:rPr>
              <w:t>Dolores Flamiano</w:t>
            </w:r>
          </w:p>
        </w:tc>
        <w:tc>
          <w:tcPr>
            <w:tcW w:w="4495" w:type="dxa"/>
          </w:tcPr>
          <w:p w14:paraId="20A045DE" w14:textId="77777777" w:rsidR="006A5800" w:rsidRPr="00D769A1" w:rsidRDefault="006A5800" w:rsidP="00B84F32">
            <w:pPr>
              <w:rPr>
                <w:rFonts w:ascii="Garamond" w:hAnsi="Garamond"/>
                <w:sz w:val="20"/>
              </w:rPr>
            </w:pPr>
            <w:r>
              <w:rPr>
                <w:rFonts w:ascii="Garamond" w:hAnsi="Garamond"/>
                <w:sz w:val="20"/>
              </w:rPr>
              <w:t>Strategies for research writing</w:t>
            </w:r>
          </w:p>
        </w:tc>
      </w:tr>
    </w:tbl>
    <w:p w14:paraId="3E69681A" w14:textId="77777777" w:rsidR="006A5800" w:rsidRPr="0058277D" w:rsidRDefault="006A5800" w:rsidP="006A5800">
      <w:pPr>
        <w:spacing w:before="120" w:after="120"/>
        <w:rPr>
          <w:rFonts w:ascii="Garamond" w:hAnsi="Garamond"/>
          <w:iCs/>
        </w:rPr>
      </w:pPr>
    </w:p>
    <w:p w14:paraId="6CCB79CB" w14:textId="77777777" w:rsidR="006A5800" w:rsidRPr="00B323C2" w:rsidRDefault="006A5800" w:rsidP="006A5800">
      <w:pPr>
        <w:rPr>
          <w:rFonts w:ascii="Garamond" w:hAnsi="Garamond"/>
          <w:iCs/>
        </w:rPr>
      </w:pPr>
      <w:r>
        <w:rPr>
          <w:rFonts w:ascii="Garamond" w:hAnsi="Garamond"/>
          <w:iCs/>
        </w:rPr>
        <w:br w:type="page"/>
      </w:r>
    </w:p>
    <w:p w14:paraId="4935F56B" w14:textId="77777777" w:rsidR="006A5800" w:rsidRPr="00A3177F" w:rsidRDefault="006A5800" w:rsidP="003C57B0">
      <w:pPr>
        <w:pStyle w:val="Header3"/>
        <w:ind w:left="720"/>
        <w:rPr>
          <w:rFonts w:ascii="Garamond" w:hAnsi="Garamond"/>
          <w:b w:val="0"/>
          <w:sz w:val="24"/>
          <w:szCs w:val="24"/>
        </w:rPr>
      </w:pPr>
    </w:p>
    <w:p w14:paraId="40DF9C91" w14:textId="1080DE0C" w:rsidR="004A0FBD" w:rsidRPr="00A3177F" w:rsidRDefault="004A0FBD" w:rsidP="004A0FBD">
      <w:pPr>
        <w:pStyle w:val="Header3"/>
        <w:ind w:left="720"/>
        <w:rPr>
          <w:rFonts w:ascii="Garamond" w:hAnsi="Garamond"/>
          <w:sz w:val="24"/>
          <w:szCs w:val="24"/>
        </w:rPr>
      </w:pPr>
      <w:r w:rsidRPr="00A3177F">
        <w:rPr>
          <w:rFonts w:ascii="Garamond" w:hAnsi="Garamond"/>
          <w:sz w:val="24"/>
          <w:szCs w:val="24"/>
        </w:rPr>
        <w:t>Sharepoint Database Development</w:t>
      </w:r>
    </w:p>
    <w:p w14:paraId="7184E4BF" w14:textId="1BFB9072" w:rsidR="00754BD7" w:rsidRDefault="00A3177F" w:rsidP="00754BD7">
      <w:pPr>
        <w:pStyle w:val="Header3"/>
        <w:ind w:left="720"/>
        <w:rPr>
          <w:rFonts w:ascii="Garamond" w:hAnsi="Garamond"/>
          <w:b w:val="0"/>
          <w:sz w:val="24"/>
          <w:szCs w:val="24"/>
        </w:rPr>
      </w:pPr>
      <w:r w:rsidRPr="00A3177F">
        <w:rPr>
          <w:rFonts w:ascii="Garamond" w:hAnsi="Garamond"/>
          <w:b w:val="0"/>
          <w:sz w:val="24"/>
          <w:szCs w:val="24"/>
        </w:rPr>
        <w:t>In collaboration with our Library Fellow</w:t>
      </w:r>
      <w:r>
        <w:rPr>
          <w:rFonts w:ascii="Garamond" w:hAnsi="Garamond"/>
          <w:b w:val="0"/>
          <w:sz w:val="24"/>
          <w:szCs w:val="24"/>
        </w:rPr>
        <w:t xml:space="preserve"> and IT</w:t>
      </w:r>
      <w:r w:rsidRPr="00A3177F">
        <w:rPr>
          <w:rFonts w:ascii="Garamond" w:hAnsi="Garamond"/>
          <w:b w:val="0"/>
          <w:sz w:val="24"/>
          <w:szCs w:val="24"/>
        </w:rPr>
        <w:t>, we’ve piloted</w:t>
      </w:r>
      <w:r>
        <w:rPr>
          <w:rFonts w:ascii="Garamond" w:hAnsi="Garamond"/>
          <w:b w:val="0"/>
          <w:sz w:val="24"/>
          <w:szCs w:val="24"/>
        </w:rPr>
        <w:t xml:space="preserve"> a new database system using Sharepoint. The idea is to eventually replace WC Online with our own, customized, free system. We piloted the Sharepoint database in our Rose Library and Athletic Performance Center locations during the Spring 2015 semester. </w:t>
      </w:r>
      <w:r w:rsidR="00754BD7">
        <w:rPr>
          <w:rFonts w:ascii="Garamond" w:hAnsi="Garamond"/>
          <w:b w:val="0"/>
          <w:sz w:val="24"/>
          <w:szCs w:val="24"/>
        </w:rPr>
        <w:t xml:space="preserve">The intake and client report forms were designed with input from tutors and faculty, considering ways to streamline the sign-in process for walk-in tutoring and to give the UWC clean, manageable session data. </w:t>
      </w:r>
    </w:p>
    <w:p w14:paraId="1CE12D93" w14:textId="77777777" w:rsidR="00754BD7" w:rsidRDefault="00754BD7" w:rsidP="00754BD7">
      <w:pPr>
        <w:pStyle w:val="Header3"/>
        <w:ind w:left="720"/>
        <w:rPr>
          <w:rFonts w:ascii="Garamond" w:hAnsi="Garamond"/>
          <w:b w:val="0"/>
          <w:sz w:val="24"/>
          <w:szCs w:val="24"/>
        </w:rPr>
      </w:pPr>
    </w:p>
    <w:p w14:paraId="0C078C05" w14:textId="64BF84CD" w:rsidR="00DA11FB" w:rsidRDefault="00754BD7" w:rsidP="00754BD7">
      <w:pPr>
        <w:pStyle w:val="Header3"/>
        <w:ind w:left="720"/>
        <w:rPr>
          <w:rFonts w:ascii="Garamond" w:hAnsi="Garamond"/>
          <w:b w:val="0"/>
          <w:sz w:val="24"/>
          <w:szCs w:val="24"/>
        </w:rPr>
      </w:pPr>
      <w:r>
        <w:rPr>
          <w:rFonts w:ascii="Garamond" w:hAnsi="Garamond"/>
          <w:b w:val="0"/>
          <w:sz w:val="24"/>
          <w:szCs w:val="24"/>
        </w:rPr>
        <w:t xml:space="preserve">By converting most of the forms to checkboxes, </w:t>
      </w:r>
      <w:r w:rsidR="00176459">
        <w:rPr>
          <w:rFonts w:ascii="Garamond" w:hAnsi="Garamond"/>
          <w:b w:val="0"/>
          <w:sz w:val="24"/>
          <w:szCs w:val="24"/>
        </w:rPr>
        <w:t>pull-down</w:t>
      </w:r>
      <w:r>
        <w:rPr>
          <w:rFonts w:ascii="Garamond" w:hAnsi="Garamond"/>
          <w:b w:val="0"/>
          <w:sz w:val="24"/>
          <w:szCs w:val="24"/>
        </w:rPr>
        <w:t xml:space="preserve"> menus, and restricted text fields, we made the forms easier to fill out. Students can no longer make mistakes with course names or professor names. Student information automatically populates the fields once an E-ID is entered because the Sharepoint system communicates with Peoplesoft.</w:t>
      </w:r>
    </w:p>
    <w:p w14:paraId="6652E20C" w14:textId="77777777" w:rsidR="00DA11FB" w:rsidRDefault="00DA11FB" w:rsidP="00754BD7">
      <w:pPr>
        <w:pStyle w:val="Header3"/>
        <w:ind w:left="720"/>
        <w:rPr>
          <w:rFonts w:ascii="Garamond" w:hAnsi="Garamond"/>
          <w:b w:val="0"/>
          <w:sz w:val="24"/>
          <w:szCs w:val="24"/>
        </w:rPr>
      </w:pPr>
    </w:p>
    <w:p w14:paraId="059E10CF" w14:textId="738B2E87" w:rsidR="00754BD7" w:rsidRDefault="00DA11FB" w:rsidP="00754BD7">
      <w:pPr>
        <w:pStyle w:val="Header3"/>
        <w:ind w:left="720"/>
        <w:rPr>
          <w:rFonts w:ascii="Garamond" w:hAnsi="Garamond"/>
          <w:b w:val="0"/>
          <w:sz w:val="24"/>
          <w:szCs w:val="24"/>
        </w:rPr>
      </w:pPr>
      <w:r>
        <w:rPr>
          <w:rFonts w:ascii="Garamond" w:hAnsi="Garamond"/>
          <w:b w:val="0"/>
          <w:sz w:val="24"/>
          <w:szCs w:val="24"/>
        </w:rPr>
        <w:t>Based on tutor input, we’ve made several revisions to the forms, and we will continue to do so until it is ready to use more broadly at the UWC.</w:t>
      </w:r>
      <w:r w:rsidR="00754BD7">
        <w:rPr>
          <w:rFonts w:ascii="Garamond" w:hAnsi="Garamond"/>
          <w:b w:val="0"/>
          <w:sz w:val="24"/>
          <w:szCs w:val="24"/>
        </w:rPr>
        <w:t xml:space="preserve"> </w:t>
      </w:r>
    </w:p>
    <w:p w14:paraId="7F3128EA" w14:textId="77777777" w:rsidR="00754BD7" w:rsidRPr="00A3177F" w:rsidRDefault="00754BD7" w:rsidP="004A0FBD">
      <w:pPr>
        <w:pStyle w:val="Header3"/>
        <w:ind w:left="720"/>
        <w:rPr>
          <w:rFonts w:ascii="Garamond" w:hAnsi="Garamond"/>
          <w:b w:val="0"/>
          <w:sz w:val="24"/>
          <w:szCs w:val="24"/>
        </w:rPr>
      </w:pPr>
    </w:p>
    <w:p w14:paraId="023D9B71" w14:textId="3AD33B58" w:rsidR="004A0FBD" w:rsidRDefault="004A0FBD" w:rsidP="004A0FBD">
      <w:pPr>
        <w:pStyle w:val="Header3"/>
        <w:ind w:left="720"/>
        <w:rPr>
          <w:rFonts w:ascii="Garamond" w:hAnsi="Garamond"/>
          <w:sz w:val="24"/>
          <w:szCs w:val="24"/>
        </w:rPr>
      </w:pPr>
      <w:r w:rsidRPr="00A3177F">
        <w:rPr>
          <w:rFonts w:ascii="Garamond" w:hAnsi="Garamond"/>
          <w:sz w:val="24"/>
          <w:szCs w:val="24"/>
        </w:rPr>
        <w:t>UWC Cascade Website</w:t>
      </w:r>
    </w:p>
    <w:p w14:paraId="3B4D04CC" w14:textId="77777777" w:rsidR="00DA11FB" w:rsidRDefault="00DA11FB" w:rsidP="00DA11FB">
      <w:pPr>
        <w:ind w:left="720"/>
        <w:rPr>
          <w:rFonts w:ascii="Garamond" w:eastAsia="Times New Roman" w:hAnsi="Garamond"/>
          <w:szCs w:val="24"/>
        </w:rPr>
      </w:pPr>
      <w:r w:rsidRPr="004C50B8">
        <w:rPr>
          <w:rFonts w:ascii="Garamond" w:eastAsia="Times New Roman" w:hAnsi="Garamond"/>
          <w:szCs w:val="24"/>
        </w:rPr>
        <w:t xml:space="preserve">The UWC worked with JMU Information Systems to completely redesign the UWC website for JMU’s Cascade platform. After the new site went live early in the academic year, the UWC refined site navigation, updated existing pages—including all “Opportunities” pages—and added new resources for JMU faculty and students. The redesigned front page features the UWC Twitter feed, links to UWC-written news stories, a video introducing the UWC’s new home in the Student Success Center created by </w:t>
      </w:r>
      <w:r>
        <w:rPr>
          <w:rFonts w:ascii="Garamond" w:eastAsia="Times New Roman" w:hAnsi="Garamond"/>
          <w:szCs w:val="24"/>
        </w:rPr>
        <w:t>UWC tutors in collaboration with CIT</w:t>
      </w:r>
      <w:r w:rsidRPr="004C50B8">
        <w:rPr>
          <w:rFonts w:ascii="Garamond" w:eastAsia="Times New Roman" w:hAnsi="Garamond"/>
          <w:szCs w:val="24"/>
        </w:rPr>
        <w:t xml:space="preserve">, and links to two videos on writing personal statements created by the Writing Center Liaison to the College of Health and Behavioral Studies. </w:t>
      </w:r>
    </w:p>
    <w:p w14:paraId="2C9B9481" w14:textId="77777777" w:rsidR="00B939F3" w:rsidRDefault="00B939F3" w:rsidP="00DA11FB">
      <w:pPr>
        <w:ind w:left="720"/>
        <w:rPr>
          <w:rFonts w:ascii="Garamond" w:eastAsia="Times New Roman" w:hAnsi="Garamond"/>
          <w:szCs w:val="24"/>
        </w:rPr>
      </w:pPr>
    </w:p>
    <w:p w14:paraId="679CE01E" w14:textId="4248E6D4" w:rsidR="00B939F3" w:rsidRDefault="00B939F3" w:rsidP="00DA11FB">
      <w:pPr>
        <w:ind w:left="720"/>
        <w:rPr>
          <w:rFonts w:ascii="Garamond" w:hAnsi="Garamond"/>
          <w:b/>
          <w:szCs w:val="24"/>
        </w:rPr>
      </w:pPr>
      <w:r w:rsidRPr="00B939F3">
        <w:rPr>
          <w:rFonts w:ascii="Garamond" w:hAnsi="Garamond"/>
          <w:b/>
          <w:szCs w:val="24"/>
        </w:rPr>
        <w:t>MAWCA 2015</w:t>
      </w:r>
    </w:p>
    <w:p w14:paraId="01CC3C25" w14:textId="43072F04" w:rsidR="00B939F3" w:rsidRPr="00B939F3" w:rsidRDefault="00B939F3" w:rsidP="00DA11FB">
      <w:pPr>
        <w:ind w:left="720"/>
        <w:rPr>
          <w:rFonts w:ascii="Times New Roman" w:eastAsia="Times New Roman" w:hAnsi="Times New Roman"/>
          <w:szCs w:val="24"/>
        </w:rPr>
      </w:pPr>
      <w:r>
        <w:rPr>
          <w:rFonts w:ascii="Garamond" w:hAnsi="Garamond"/>
          <w:szCs w:val="24"/>
        </w:rPr>
        <w:t>This spring, the UWC hosted the Mid-Atlantic Writing Centers Association conference in the Student Success Center at JMU. With nearly 300 participants from around the region, the event increased our writing center’s visibility and established many connections with other centers. The conference theme, Sharing Spaces, reflected our move to the Student Success Center, a move that many writing centers are making these days. The UWC staff participated in every aspect of the planning and facilitation of the conference. Peer tutors Caroline Prendergast, Kody Sharp, and Taylor O’Donnell all gave presentations at the conference. Faculty members Kevin Jefferson, Lucy Green, Jared Featherstone, and Laura Schubert also gave presentations or conducted workshops. Feedback from the MAWCA board and conference surveys indicate</w:t>
      </w:r>
      <w:r w:rsidR="00734689">
        <w:rPr>
          <w:rFonts w:ascii="Garamond" w:hAnsi="Garamond"/>
          <w:szCs w:val="24"/>
        </w:rPr>
        <w:t>s</w:t>
      </w:r>
      <w:r>
        <w:rPr>
          <w:rFonts w:ascii="Garamond" w:hAnsi="Garamond"/>
          <w:szCs w:val="24"/>
        </w:rPr>
        <w:t xml:space="preserve"> it was a success.</w:t>
      </w:r>
    </w:p>
    <w:p w14:paraId="30EE26A3" w14:textId="77777777" w:rsidR="00DA11FB" w:rsidRPr="00A3177F" w:rsidRDefault="00DA11FB" w:rsidP="004A0FBD">
      <w:pPr>
        <w:pStyle w:val="Header3"/>
        <w:ind w:left="720"/>
        <w:rPr>
          <w:rFonts w:ascii="Garamond" w:hAnsi="Garamond"/>
          <w:sz w:val="24"/>
          <w:szCs w:val="24"/>
        </w:rPr>
      </w:pPr>
    </w:p>
    <w:p w14:paraId="48AA3264" w14:textId="445C09D5" w:rsidR="004A0FBD" w:rsidRDefault="004A0FBD" w:rsidP="004A0FBD">
      <w:pPr>
        <w:pStyle w:val="Header3"/>
        <w:ind w:left="720"/>
        <w:rPr>
          <w:rFonts w:ascii="Garamond" w:hAnsi="Garamond"/>
          <w:sz w:val="24"/>
          <w:szCs w:val="24"/>
        </w:rPr>
      </w:pPr>
      <w:r w:rsidRPr="00A3177F">
        <w:rPr>
          <w:rFonts w:ascii="Garamond" w:hAnsi="Garamond"/>
          <w:sz w:val="24"/>
          <w:szCs w:val="24"/>
        </w:rPr>
        <w:t>Mission, Vision, Values</w:t>
      </w:r>
    </w:p>
    <w:p w14:paraId="14BDC7D3" w14:textId="6F232BD2" w:rsidR="00DA11FB" w:rsidRDefault="00692F7F" w:rsidP="004A0FBD">
      <w:pPr>
        <w:pStyle w:val="Header3"/>
        <w:ind w:left="720"/>
        <w:rPr>
          <w:rFonts w:ascii="Garamond" w:hAnsi="Garamond"/>
          <w:b w:val="0"/>
          <w:sz w:val="24"/>
          <w:szCs w:val="24"/>
        </w:rPr>
      </w:pPr>
      <w:r>
        <w:rPr>
          <w:rFonts w:ascii="Garamond" w:hAnsi="Garamond"/>
          <w:b w:val="0"/>
          <w:sz w:val="24"/>
          <w:szCs w:val="24"/>
        </w:rPr>
        <w:t>Using the executive leadership training received in the Impact</w:t>
      </w:r>
      <w:r w:rsidRPr="00692F7F">
        <w:rPr>
          <w:rFonts w:ascii="Garamond" w:hAnsi="Garamond"/>
          <w:b w:val="0"/>
          <w:sz w:val="24"/>
          <w:szCs w:val="24"/>
          <w:vertAlign w:val="superscript"/>
        </w:rPr>
        <w:t>3</w:t>
      </w:r>
      <w:r>
        <w:rPr>
          <w:rFonts w:ascii="Garamond" w:hAnsi="Garamond"/>
          <w:b w:val="0"/>
          <w:sz w:val="24"/>
          <w:szCs w:val="24"/>
          <w:vertAlign w:val="superscript"/>
        </w:rPr>
        <w:t xml:space="preserve"> </w:t>
      </w:r>
      <w:r>
        <w:rPr>
          <w:rFonts w:ascii="Garamond" w:hAnsi="Garamond"/>
          <w:b w:val="0"/>
          <w:sz w:val="24"/>
          <w:szCs w:val="24"/>
        </w:rPr>
        <w:t xml:space="preserve">Program, the UWC’s Associate Director facilitated the revision of the UWC’s mission statement and the creation </w:t>
      </w:r>
      <w:r>
        <w:rPr>
          <w:rFonts w:ascii="Garamond" w:hAnsi="Garamond"/>
          <w:b w:val="0"/>
          <w:sz w:val="24"/>
          <w:szCs w:val="24"/>
        </w:rPr>
        <w:lastRenderedPageBreak/>
        <w:t xml:space="preserve">of a vision statement and values. The process began by recording the discussions and input from peer tutors and grads regarding the UWC’s purpose and future goals. The Associate Director then drafted a revision of the mission statement and drafts of vision and value statements. </w:t>
      </w:r>
      <w:r w:rsidR="00176459">
        <w:rPr>
          <w:rFonts w:ascii="Garamond" w:hAnsi="Garamond"/>
          <w:b w:val="0"/>
          <w:sz w:val="24"/>
          <w:szCs w:val="24"/>
        </w:rPr>
        <w:t xml:space="preserve">These revisions were reviewed by the peer tutors, grads, and faculty. </w:t>
      </w:r>
      <w:r>
        <w:rPr>
          <w:rFonts w:ascii="Garamond" w:hAnsi="Garamond"/>
          <w:b w:val="0"/>
          <w:sz w:val="24"/>
          <w:szCs w:val="24"/>
        </w:rPr>
        <w:t>The comments were incorporated into final versions of these guiding statements:</w:t>
      </w:r>
    </w:p>
    <w:p w14:paraId="04A3FBE7" w14:textId="77777777" w:rsidR="00B41FF0" w:rsidRDefault="00B41FF0" w:rsidP="00B41FF0">
      <w:pPr>
        <w:pStyle w:val="Heading2"/>
        <w:shd w:val="clear" w:color="auto" w:fill="FFFFFF"/>
        <w:spacing w:before="0" w:after="180"/>
        <w:ind w:left="0"/>
        <w:rPr>
          <w:rFonts w:ascii="Georgia" w:eastAsia="Times New Roman" w:hAnsi="Georgia"/>
          <w:b w:val="0"/>
          <w:bCs/>
          <w:color w:val="000000"/>
          <w:sz w:val="30"/>
          <w:szCs w:val="30"/>
        </w:rPr>
      </w:pPr>
    </w:p>
    <w:p w14:paraId="7E8B88B7" w14:textId="77777777" w:rsidR="00B41FF0" w:rsidRPr="00B41FF0" w:rsidRDefault="00B41FF0" w:rsidP="00C37D4E">
      <w:pPr>
        <w:pStyle w:val="Heading2"/>
        <w:shd w:val="clear" w:color="auto" w:fill="FFFFFF"/>
        <w:spacing w:before="0" w:after="180"/>
        <w:rPr>
          <w:rFonts w:ascii="Garamond" w:eastAsia="Times New Roman" w:hAnsi="Garamond"/>
          <w:b w:val="0"/>
          <w:color w:val="000000"/>
          <w:szCs w:val="24"/>
        </w:rPr>
      </w:pPr>
      <w:r w:rsidRPr="00B41FF0">
        <w:rPr>
          <w:rFonts w:ascii="Garamond" w:eastAsia="Times New Roman" w:hAnsi="Garamond"/>
          <w:b w:val="0"/>
          <w:bCs/>
          <w:color w:val="000000"/>
          <w:szCs w:val="24"/>
        </w:rPr>
        <w:t>Mission</w:t>
      </w:r>
    </w:p>
    <w:p w14:paraId="3E7CB5C1" w14:textId="77777777" w:rsidR="00B41FF0" w:rsidRDefault="00B41FF0" w:rsidP="00C37D4E">
      <w:pPr>
        <w:pStyle w:val="NormalWeb"/>
        <w:shd w:val="clear" w:color="auto" w:fill="FFFFFF"/>
        <w:spacing w:before="0" w:beforeAutospacing="0" w:after="180" w:afterAutospacing="0" w:line="270" w:lineRule="atLeast"/>
        <w:ind w:left="720"/>
        <w:rPr>
          <w:rFonts w:ascii="Garamond" w:hAnsi="Garamond" w:cs="Arial"/>
          <w:color w:val="414042"/>
          <w:sz w:val="24"/>
          <w:szCs w:val="24"/>
        </w:rPr>
      </w:pPr>
      <w:r w:rsidRPr="00B41FF0">
        <w:rPr>
          <w:rFonts w:ascii="Garamond" w:hAnsi="Garamond" w:cs="Arial"/>
          <w:color w:val="414042"/>
          <w:sz w:val="24"/>
          <w:szCs w:val="24"/>
        </w:rPr>
        <w:t>The University Writing Center empowers students, faculty, and staff to develop writing and critical thinking skills by providing personalized consultations, resources, and programs that strengthen writing across campus. </w:t>
      </w:r>
      <w:r w:rsidRPr="00B41FF0">
        <w:rPr>
          <w:rFonts w:ascii="Garamond" w:eastAsia="Times New Roman" w:hAnsi="Garamond" w:cs="Arial"/>
          <w:color w:val="414042"/>
          <w:sz w:val="24"/>
          <w:szCs w:val="24"/>
        </w:rPr>
        <w:br/>
      </w:r>
      <w:r w:rsidRPr="00B41FF0">
        <w:rPr>
          <w:rFonts w:ascii="Garamond" w:eastAsia="Times New Roman" w:hAnsi="Garamond" w:cs="Arial"/>
          <w:color w:val="414042"/>
          <w:sz w:val="24"/>
          <w:szCs w:val="24"/>
        </w:rPr>
        <w:br/>
      </w:r>
      <w:r w:rsidRPr="00B41FF0">
        <w:rPr>
          <w:rFonts w:ascii="Garamond" w:eastAsia="Times New Roman" w:hAnsi="Garamond"/>
          <w:bCs/>
          <w:color w:val="000000"/>
          <w:sz w:val="24"/>
          <w:szCs w:val="24"/>
        </w:rPr>
        <w:t>Vision</w:t>
      </w:r>
    </w:p>
    <w:p w14:paraId="5C767E9C" w14:textId="515580A8" w:rsidR="00B41FF0" w:rsidRPr="00B41FF0" w:rsidRDefault="00B41FF0" w:rsidP="00C37D4E">
      <w:pPr>
        <w:pStyle w:val="NormalWeb"/>
        <w:shd w:val="clear" w:color="auto" w:fill="FFFFFF"/>
        <w:spacing w:before="0" w:beforeAutospacing="0" w:after="180" w:afterAutospacing="0" w:line="270" w:lineRule="atLeast"/>
        <w:ind w:left="720"/>
        <w:rPr>
          <w:rFonts w:ascii="Garamond" w:hAnsi="Garamond" w:cs="Arial"/>
          <w:color w:val="414042"/>
          <w:sz w:val="24"/>
          <w:szCs w:val="24"/>
        </w:rPr>
      </w:pPr>
      <w:r w:rsidRPr="00B41FF0">
        <w:rPr>
          <w:rFonts w:ascii="Garamond" w:hAnsi="Garamond" w:cs="Arial"/>
          <w:color w:val="414042"/>
          <w:sz w:val="24"/>
          <w:szCs w:val="24"/>
        </w:rPr>
        <w:t>To be a leader for the JMU community and the writing centers discipline as they use writing to engage with ideas and audiences.</w:t>
      </w:r>
    </w:p>
    <w:p w14:paraId="72302281" w14:textId="6319CD65" w:rsidR="00B41FF0" w:rsidRPr="00B41FF0" w:rsidRDefault="00B41FF0" w:rsidP="00C37D4E">
      <w:pPr>
        <w:ind w:left="720"/>
        <w:rPr>
          <w:rFonts w:ascii="Garamond" w:eastAsia="Times New Roman" w:hAnsi="Garamond"/>
          <w:szCs w:val="24"/>
        </w:rPr>
      </w:pPr>
      <w:r w:rsidRPr="00B41FF0">
        <w:rPr>
          <w:rFonts w:ascii="Garamond" w:eastAsia="Times New Roman" w:hAnsi="Garamond"/>
          <w:bCs/>
          <w:color w:val="000000"/>
          <w:szCs w:val="24"/>
        </w:rPr>
        <w:t>Values</w:t>
      </w:r>
    </w:p>
    <w:p w14:paraId="58359B2D" w14:textId="77777777" w:rsidR="00B41FF0" w:rsidRDefault="00B41FF0" w:rsidP="00C37D4E">
      <w:pPr>
        <w:pStyle w:val="NormalWeb"/>
        <w:shd w:val="clear" w:color="auto" w:fill="FFFFFF"/>
        <w:spacing w:before="0" w:beforeAutospacing="0" w:after="180" w:afterAutospacing="0" w:line="270" w:lineRule="atLeast"/>
        <w:ind w:left="720"/>
        <w:rPr>
          <w:rFonts w:ascii="Garamond" w:hAnsi="Garamond" w:cs="Arial"/>
          <w:color w:val="414042"/>
          <w:sz w:val="24"/>
          <w:szCs w:val="24"/>
        </w:rPr>
      </w:pPr>
    </w:p>
    <w:p w14:paraId="3BA89B83" w14:textId="77777777" w:rsidR="00B41FF0" w:rsidRPr="00B41FF0" w:rsidRDefault="00B41FF0" w:rsidP="00C37D4E">
      <w:pPr>
        <w:pStyle w:val="NormalWeb"/>
        <w:shd w:val="clear" w:color="auto" w:fill="FFFFFF"/>
        <w:spacing w:before="0" w:beforeAutospacing="0" w:after="180" w:afterAutospacing="0" w:line="270" w:lineRule="atLeast"/>
        <w:ind w:left="720"/>
        <w:rPr>
          <w:rFonts w:ascii="Garamond" w:hAnsi="Garamond" w:cs="Arial"/>
          <w:color w:val="414042"/>
          <w:sz w:val="24"/>
          <w:szCs w:val="24"/>
        </w:rPr>
      </w:pPr>
      <w:r w:rsidRPr="00B41FF0">
        <w:rPr>
          <w:rFonts w:ascii="Garamond" w:hAnsi="Garamond" w:cs="Arial"/>
          <w:color w:val="414042"/>
          <w:sz w:val="24"/>
          <w:szCs w:val="24"/>
        </w:rPr>
        <w:t>Personalized Learning – We consider the variety of learning styles and collaborative teaching methods in working with writers.</w:t>
      </w:r>
    </w:p>
    <w:p w14:paraId="4E62B2C0" w14:textId="77777777" w:rsidR="00B41FF0" w:rsidRPr="00B41FF0" w:rsidRDefault="00B41FF0" w:rsidP="00C37D4E">
      <w:pPr>
        <w:pStyle w:val="NormalWeb"/>
        <w:shd w:val="clear" w:color="auto" w:fill="FFFFFF"/>
        <w:spacing w:before="0" w:beforeAutospacing="0" w:after="180" w:afterAutospacing="0" w:line="270" w:lineRule="atLeast"/>
        <w:ind w:left="720"/>
        <w:rPr>
          <w:rFonts w:ascii="Garamond" w:hAnsi="Garamond" w:cs="Arial"/>
          <w:color w:val="414042"/>
          <w:sz w:val="24"/>
          <w:szCs w:val="24"/>
        </w:rPr>
      </w:pPr>
      <w:r w:rsidRPr="00B41FF0">
        <w:rPr>
          <w:rFonts w:ascii="Garamond" w:hAnsi="Garamond" w:cs="Arial"/>
          <w:color w:val="414042"/>
          <w:sz w:val="24"/>
          <w:szCs w:val="24"/>
        </w:rPr>
        <w:t>Inclusivity – We strive to be a safe, comfortable place where people of all backgrounds and groups are treated with respect and kindness.</w:t>
      </w:r>
    </w:p>
    <w:p w14:paraId="3B705880" w14:textId="77777777" w:rsidR="00B41FF0" w:rsidRPr="00B41FF0" w:rsidRDefault="00B41FF0" w:rsidP="00C37D4E">
      <w:pPr>
        <w:pStyle w:val="NormalWeb"/>
        <w:shd w:val="clear" w:color="auto" w:fill="FFFFFF"/>
        <w:spacing w:before="0" w:beforeAutospacing="0" w:after="180" w:afterAutospacing="0" w:line="270" w:lineRule="atLeast"/>
        <w:ind w:left="720"/>
        <w:rPr>
          <w:rFonts w:ascii="Garamond" w:hAnsi="Garamond" w:cs="Arial"/>
          <w:color w:val="414042"/>
          <w:sz w:val="24"/>
          <w:szCs w:val="24"/>
        </w:rPr>
      </w:pPr>
      <w:r w:rsidRPr="00B41FF0">
        <w:rPr>
          <w:rFonts w:ascii="Garamond" w:hAnsi="Garamond" w:cs="Arial"/>
          <w:color w:val="414042"/>
          <w:sz w:val="24"/>
          <w:szCs w:val="24"/>
        </w:rPr>
        <w:t>Mindfulness – We strive to be focused and nonjudgmental in our work by cultivating awareness of mental activity, managing stress, and reducing distraction.</w:t>
      </w:r>
    </w:p>
    <w:p w14:paraId="5FFFFDCA" w14:textId="77777777" w:rsidR="00B41FF0" w:rsidRPr="00B41FF0" w:rsidRDefault="00B41FF0" w:rsidP="00C37D4E">
      <w:pPr>
        <w:pStyle w:val="NormalWeb"/>
        <w:shd w:val="clear" w:color="auto" w:fill="FFFFFF"/>
        <w:spacing w:before="0" w:beforeAutospacing="0" w:after="180" w:afterAutospacing="0" w:line="270" w:lineRule="atLeast"/>
        <w:ind w:left="720"/>
        <w:rPr>
          <w:rFonts w:ascii="Garamond" w:hAnsi="Garamond" w:cs="Arial"/>
          <w:color w:val="414042"/>
          <w:sz w:val="24"/>
          <w:szCs w:val="24"/>
        </w:rPr>
      </w:pPr>
      <w:r w:rsidRPr="00B41FF0">
        <w:rPr>
          <w:rFonts w:ascii="Garamond" w:hAnsi="Garamond" w:cs="Arial"/>
          <w:color w:val="414042"/>
          <w:sz w:val="24"/>
          <w:szCs w:val="24"/>
        </w:rPr>
        <w:t>Critical Thinking – We inspire and practice careful analysis, synthesis, evaluation, and expression of ideas.</w:t>
      </w:r>
    </w:p>
    <w:p w14:paraId="7AB81FAC" w14:textId="77777777" w:rsidR="00B41FF0" w:rsidRPr="00B41FF0" w:rsidRDefault="00B41FF0" w:rsidP="00C37D4E">
      <w:pPr>
        <w:pStyle w:val="NormalWeb"/>
        <w:shd w:val="clear" w:color="auto" w:fill="FFFFFF"/>
        <w:spacing w:before="0" w:beforeAutospacing="0" w:after="180" w:afterAutospacing="0" w:line="270" w:lineRule="atLeast"/>
        <w:ind w:left="720"/>
        <w:rPr>
          <w:rFonts w:ascii="Garamond" w:hAnsi="Garamond" w:cs="Arial"/>
          <w:color w:val="414042"/>
          <w:sz w:val="24"/>
          <w:szCs w:val="24"/>
        </w:rPr>
      </w:pPr>
      <w:r w:rsidRPr="00B41FF0">
        <w:rPr>
          <w:rFonts w:ascii="Garamond" w:hAnsi="Garamond" w:cs="Arial"/>
          <w:color w:val="414042"/>
          <w:sz w:val="24"/>
          <w:szCs w:val="24"/>
        </w:rPr>
        <w:t>Connection – We strive to build relationships through understanding, authenticity, and compassion.</w:t>
      </w:r>
    </w:p>
    <w:p w14:paraId="4AEB31F9" w14:textId="459043DF" w:rsidR="00692F7F" w:rsidRPr="00692F7F" w:rsidRDefault="002C64EE" w:rsidP="00C37D4E">
      <w:pPr>
        <w:pStyle w:val="Header3"/>
        <w:ind w:left="720"/>
        <w:rPr>
          <w:rFonts w:ascii="Garamond" w:hAnsi="Garamond"/>
          <w:b w:val="0"/>
          <w:sz w:val="24"/>
          <w:szCs w:val="24"/>
        </w:rPr>
      </w:pPr>
      <w:r>
        <w:rPr>
          <w:rFonts w:ascii="Garamond" w:hAnsi="Garamond"/>
          <w:b w:val="0"/>
          <w:sz w:val="24"/>
          <w:szCs w:val="24"/>
        </w:rPr>
        <w:t xml:space="preserve">The new mission, vision, and values will guide the creation of the UWC’s strategic plan. </w:t>
      </w:r>
    </w:p>
    <w:p w14:paraId="24D956B1" w14:textId="77777777" w:rsidR="004A0FBD" w:rsidRDefault="004A0FBD" w:rsidP="003C57B0">
      <w:pPr>
        <w:pStyle w:val="Header3"/>
        <w:ind w:left="720"/>
        <w:rPr>
          <w:rFonts w:ascii="Garamond" w:hAnsi="Garamond"/>
          <w:b w:val="0"/>
          <w:sz w:val="24"/>
        </w:rPr>
      </w:pPr>
    </w:p>
    <w:p w14:paraId="7DA61BAC" w14:textId="77777777" w:rsidR="004A0FBD" w:rsidRPr="0042125D" w:rsidRDefault="004A0FBD" w:rsidP="003C57B0">
      <w:pPr>
        <w:pStyle w:val="Header3"/>
        <w:ind w:left="720"/>
        <w:rPr>
          <w:rFonts w:ascii="Garamond" w:hAnsi="Garamond"/>
        </w:rPr>
      </w:pPr>
    </w:p>
    <w:p w14:paraId="5C3F060C" w14:textId="77777777" w:rsidR="002B742F" w:rsidRPr="0042125D" w:rsidRDefault="00680217" w:rsidP="0042125D">
      <w:pPr>
        <w:pStyle w:val="Header2"/>
        <w:rPr>
          <w:rFonts w:ascii="Garamond" w:hAnsi="Garamond"/>
        </w:rPr>
      </w:pPr>
      <w:r w:rsidRPr="0042125D">
        <w:rPr>
          <w:rFonts w:ascii="Garamond" w:hAnsi="Garamond"/>
        </w:rPr>
        <w:t>Ongoing Programs</w:t>
      </w:r>
    </w:p>
    <w:p w14:paraId="78D7EB33" w14:textId="77777777" w:rsidR="006F276A" w:rsidRDefault="00680217" w:rsidP="00800B83">
      <w:pPr>
        <w:pStyle w:val="Header3"/>
        <w:ind w:left="0"/>
        <w:rPr>
          <w:rFonts w:ascii="Garamond" w:hAnsi="Garamond"/>
        </w:rPr>
      </w:pPr>
      <w:r w:rsidRPr="0042125D">
        <w:rPr>
          <w:rFonts w:ascii="Garamond" w:hAnsi="Garamond"/>
        </w:rPr>
        <w:t>Writing Fellows</w:t>
      </w:r>
    </w:p>
    <w:p w14:paraId="6EB07FC4" w14:textId="77777777" w:rsidR="00800B83" w:rsidRPr="0093379F" w:rsidRDefault="00800B83" w:rsidP="00800B83">
      <w:pPr>
        <w:spacing w:before="120" w:after="120"/>
        <w:rPr>
          <w:rFonts w:ascii="Garamond" w:hAnsi="Garamond"/>
          <w:iCs/>
          <w:szCs w:val="24"/>
        </w:rPr>
      </w:pPr>
      <w:r w:rsidRPr="0093379F">
        <w:rPr>
          <w:rFonts w:ascii="Garamond" w:hAnsi="Garamond"/>
          <w:iCs/>
          <w:szCs w:val="24"/>
        </w:rPr>
        <w:t xml:space="preserve">The program supported four sections of two engineering courses this year: Engineering Design III and Engineering Design V. The program’s funding source could only support these four writing fellows placements, which was an unfortunate decline from last year’s expansion. Still, the program significantly enhanced writing instruction in these courses, as demonstrated in an assessment project conducted by Kevin Jefferson and Laura Schubert. They conducted a pilot research project designed to assess the impact of one writing fellow’s instruction. They collected literature reviews that students wrote in three sections of the same engineering course, one of which had a writing fellow </w:t>
      </w:r>
      <w:r w:rsidRPr="0093379F">
        <w:rPr>
          <w:rFonts w:ascii="Garamond" w:hAnsi="Garamond"/>
          <w:iCs/>
          <w:szCs w:val="24"/>
        </w:rPr>
        <w:lastRenderedPageBreak/>
        <w:t xml:space="preserve">embedded in the class. They blindly rated nearly 40 essays and found in preliminary analyses that students who worked with a writing fellow wrote better essays. These students’ essays had higher trait scores, and their revisions showed greater attention to global concerns, such as organization and source usage. This project received IRB approval in March to continue researching on a greater scale. </w:t>
      </w:r>
    </w:p>
    <w:p w14:paraId="042279B8" w14:textId="77777777" w:rsidR="00800B83" w:rsidRPr="0093379F" w:rsidRDefault="00800B83" w:rsidP="00800B83">
      <w:pPr>
        <w:spacing w:before="120" w:after="120"/>
        <w:rPr>
          <w:rFonts w:ascii="Garamond" w:hAnsi="Garamond"/>
          <w:iCs/>
          <w:szCs w:val="24"/>
        </w:rPr>
      </w:pPr>
      <w:r w:rsidRPr="0093379F">
        <w:rPr>
          <w:rFonts w:ascii="Garamond" w:hAnsi="Garamond"/>
          <w:iCs/>
          <w:szCs w:val="24"/>
        </w:rPr>
        <w:t>Faculty who participated in the writing fellows program also demonstrated their satisfaction with the program when they presented, along with their writing fellows, on a conference panel at the Mid-Atlantic Writing Centers Association in April. The four panelists described their positive experience collaborating to enhance writing instruction in engineering and encouraged conference attendees to negotiate similar arrangements at their institutions. At this same conference, peer tutor Caroline Prendergast also described research she conducted as part of her writing fellows assignment in the psychology department.</w:t>
      </w:r>
    </w:p>
    <w:p w14:paraId="031A774B" w14:textId="77777777" w:rsidR="00800B83" w:rsidRPr="0042125D" w:rsidRDefault="00800B83" w:rsidP="00747E34">
      <w:pPr>
        <w:pStyle w:val="Header3"/>
        <w:ind w:left="720"/>
        <w:rPr>
          <w:rFonts w:ascii="Garamond" w:hAnsi="Garamond"/>
        </w:rPr>
      </w:pPr>
    </w:p>
    <w:p w14:paraId="1EDEA89E" w14:textId="77777777" w:rsidR="00680217" w:rsidRPr="0042125D" w:rsidRDefault="00680217" w:rsidP="00800B83">
      <w:pPr>
        <w:pStyle w:val="Header3"/>
        <w:ind w:left="0"/>
        <w:rPr>
          <w:rFonts w:ascii="Garamond" w:hAnsi="Garamond"/>
        </w:rPr>
      </w:pPr>
      <w:r w:rsidRPr="0042125D">
        <w:rPr>
          <w:rFonts w:ascii="Garamond" w:hAnsi="Garamond"/>
        </w:rPr>
        <w:t>Peer Tutor Development</w:t>
      </w:r>
    </w:p>
    <w:p w14:paraId="6AE69D15" w14:textId="77777777" w:rsidR="00800B83" w:rsidRPr="0093379F" w:rsidRDefault="00800B83" w:rsidP="00800B83">
      <w:pPr>
        <w:spacing w:after="120"/>
        <w:rPr>
          <w:rFonts w:ascii="Garamond" w:hAnsi="Garamond"/>
          <w:b/>
          <w:iCs/>
          <w:szCs w:val="24"/>
        </w:rPr>
      </w:pPr>
      <w:r w:rsidRPr="0093379F">
        <w:rPr>
          <w:rFonts w:ascii="Garamond" w:hAnsi="Garamond"/>
          <w:iCs/>
          <w:szCs w:val="24"/>
        </w:rPr>
        <w:t>We improved last year’s professional development activities by organizing regular all-staff meetings, instead of small-group meetings. The all-staff meetings allowed us to increase unity among all writing center personnel, to improve communication, and to streamline professional development efforts. During the meetings, we discussed regular UWC business, communicated announcements, and held debriefing sessions where tutors could share tutoring successes with each other and troubleshoot challenges. We also invited several guest speakers to lead group meetings on specific topics, such as diversity, research writing, and APA citation style. A highlight of the year was Art Dean’s two presentations and activities that engaged tutors in discussions about diversity. Tutors reported that the activities were useful, interactive, and interesting. We recorded one of the sessions to use again in the future, perhaps with students in the Tutoring Writing course.</w:t>
      </w:r>
    </w:p>
    <w:p w14:paraId="6A50A20D" w14:textId="77777777" w:rsidR="00730A88" w:rsidRPr="0042125D" w:rsidRDefault="00730A88" w:rsidP="004C50B8">
      <w:pPr>
        <w:pStyle w:val="Header3"/>
        <w:spacing w:before="0" w:after="0"/>
        <w:ind w:left="0"/>
        <w:rPr>
          <w:rFonts w:ascii="Garamond" w:hAnsi="Garamond"/>
        </w:rPr>
      </w:pPr>
    </w:p>
    <w:p w14:paraId="3EA8C526" w14:textId="7CCB1E12" w:rsidR="006633BF" w:rsidRPr="00F028AF" w:rsidRDefault="00F028AF" w:rsidP="00F028AF">
      <w:pPr>
        <w:pStyle w:val="Header3"/>
        <w:spacing w:before="0" w:after="0"/>
        <w:ind w:left="0"/>
        <w:rPr>
          <w:rFonts w:ascii="Garamond" w:hAnsi="Garamond"/>
          <w:sz w:val="24"/>
        </w:rPr>
      </w:pPr>
      <w:r w:rsidRPr="00F028AF">
        <w:rPr>
          <w:rFonts w:ascii="Garamond" w:hAnsi="Garamond"/>
          <w:sz w:val="24"/>
        </w:rPr>
        <w:t>Tutor Awards Ceremony</w:t>
      </w:r>
    </w:p>
    <w:p w14:paraId="078E6526" w14:textId="72FCC9A2" w:rsidR="00F028AF" w:rsidRPr="0042125D" w:rsidRDefault="00F028AF" w:rsidP="00F028AF">
      <w:pPr>
        <w:pStyle w:val="Header3"/>
        <w:spacing w:before="0" w:after="0"/>
        <w:ind w:left="0"/>
        <w:rPr>
          <w:rFonts w:ascii="Garamond" w:hAnsi="Garamond"/>
          <w:b w:val="0"/>
          <w:sz w:val="24"/>
        </w:rPr>
      </w:pPr>
      <w:r>
        <w:rPr>
          <w:rFonts w:ascii="Garamond" w:hAnsi="Garamond"/>
          <w:b w:val="0"/>
          <w:sz w:val="24"/>
        </w:rPr>
        <w:tab/>
        <w:t xml:space="preserve">The UWC participated in the Learning Centers Tutor Awards Ceremony, honoring Dakota Sharp, Caroline Prendergast, Kristin Gatti, Alison Walsh, Alexa Livezy, Adrian Jarvis, and Allison Michelli. </w:t>
      </w:r>
    </w:p>
    <w:p w14:paraId="4039E6D3" w14:textId="77777777" w:rsidR="00B939F3" w:rsidRDefault="00B939F3" w:rsidP="00F465F6">
      <w:pPr>
        <w:pStyle w:val="Header3"/>
        <w:ind w:left="0"/>
        <w:rPr>
          <w:rFonts w:ascii="Garamond" w:hAnsi="Garamond"/>
          <w:sz w:val="24"/>
          <w:szCs w:val="24"/>
        </w:rPr>
      </w:pPr>
    </w:p>
    <w:p w14:paraId="7A4F2267" w14:textId="085912EF" w:rsidR="00F465F6" w:rsidRPr="00B939F3" w:rsidRDefault="00285F82" w:rsidP="00B939F3">
      <w:pPr>
        <w:pStyle w:val="Header3"/>
        <w:ind w:left="0"/>
        <w:rPr>
          <w:rFonts w:ascii="Garamond" w:hAnsi="Garamond"/>
          <w:sz w:val="24"/>
          <w:szCs w:val="24"/>
        </w:rPr>
      </w:pPr>
      <w:r w:rsidRPr="00B939F3">
        <w:rPr>
          <w:rFonts w:ascii="Garamond" w:hAnsi="Garamond"/>
          <w:sz w:val="24"/>
          <w:szCs w:val="24"/>
        </w:rPr>
        <w:t>Scholarly Contributions</w:t>
      </w:r>
    </w:p>
    <w:p w14:paraId="2573EED9" w14:textId="77777777" w:rsidR="00B171CE" w:rsidRDefault="00B171CE" w:rsidP="00B171CE">
      <w:pPr>
        <w:numPr>
          <w:ilvl w:val="1"/>
          <w:numId w:val="16"/>
        </w:numPr>
        <w:spacing w:before="120" w:after="120" w:line="276" w:lineRule="auto"/>
        <w:rPr>
          <w:rFonts w:ascii="Garamond" w:hAnsi="Garamond"/>
          <w:iCs/>
          <w:szCs w:val="24"/>
        </w:rPr>
      </w:pPr>
      <w:r>
        <w:rPr>
          <w:rFonts w:ascii="Garamond" w:hAnsi="Garamond"/>
          <w:iCs/>
          <w:szCs w:val="24"/>
        </w:rPr>
        <w:t>Kevin Jefferson and Laura Schubert conducted a pilot research project that sought to assess the impact of a writing fellow’s instruction. They collected literature reviews that engineering students wrote in three sections of the same course, one of which had a writing fellow embedded in the class. They blindly rated nearly 40 essays and found in our preliminary analyses that students who worked with a writing fellow wrote better essays. These students’ essays had higher trait scores, and their revisions (which we evaluated by rating both first and second drafts) showed greater attention to global concerns. They received IRB approval in March to continue this research project on a greater scale.</w:t>
      </w:r>
    </w:p>
    <w:p w14:paraId="35C79FE7" w14:textId="77777777" w:rsidR="00A21A64" w:rsidRDefault="00B171CE" w:rsidP="00A21A64">
      <w:pPr>
        <w:numPr>
          <w:ilvl w:val="1"/>
          <w:numId w:val="16"/>
        </w:numPr>
        <w:spacing w:before="120" w:after="120" w:line="276" w:lineRule="auto"/>
        <w:rPr>
          <w:rFonts w:ascii="Garamond" w:hAnsi="Garamond"/>
          <w:iCs/>
          <w:szCs w:val="24"/>
        </w:rPr>
      </w:pPr>
      <w:r w:rsidRPr="00B171CE">
        <w:rPr>
          <w:rFonts w:ascii="Garamond" w:eastAsia="Times New Roman" w:hAnsi="Garamond" w:cs="Arial"/>
          <w:szCs w:val="24"/>
        </w:rPr>
        <w:lastRenderedPageBreak/>
        <w:t>Laura Schubert presented with Karen Johnson a workshop entitled “</w:t>
      </w:r>
      <w:r w:rsidRPr="00B171CE">
        <w:rPr>
          <w:rFonts w:ascii="Garamond" w:hAnsi="Garamond" w:cs="Cambria"/>
          <w:szCs w:val="24"/>
        </w:rPr>
        <w:t>Writing Center in the Learning Commons: Opportunities, Pitfalls, and Administrative Strategies” at the Mid-Atlantic Writing Centers Association – Harrisonburg, April 2015.</w:t>
      </w:r>
    </w:p>
    <w:p w14:paraId="7FCB8018" w14:textId="77777777" w:rsidR="008F64CD" w:rsidRDefault="00A21A64" w:rsidP="008F64CD">
      <w:pPr>
        <w:numPr>
          <w:ilvl w:val="1"/>
          <w:numId w:val="16"/>
        </w:numPr>
        <w:spacing w:before="120" w:after="120" w:line="276" w:lineRule="auto"/>
        <w:rPr>
          <w:rFonts w:ascii="Garamond" w:hAnsi="Garamond"/>
          <w:iCs/>
          <w:szCs w:val="24"/>
        </w:rPr>
      </w:pPr>
      <w:r w:rsidRPr="00A21A64">
        <w:rPr>
          <w:rFonts w:ascii="Garamond" w:hAnsi="Garamond"/>
          <w:iCs/>
          <w:szCs w:val="24"/>
        </w:rPr>
        <w:t xml:space="preserve">Jared Featherstone, along with ODS Assistant Director Matt Trybus, facilitated a 2-hour workshop entitled, </w:t>
      </w:r>
      <w:r w:rsidRPr="00A21A64">
        <w:rPr>
          <w:rFonts w:ascii="Garamond" w:hAnsi="Garamond"/>
          <w:szCs w:val="24"/>
        </w:rPr>
        <w:t>“Writing Centers and Disability Services: Collaborating to Empower” at the Mid-Atlantic Writing Centers Association Conference, April 2015. James Madison University.</w:t>
      </w:r>
    </w:p>
    <w:p w14:paraId="32D822E2" w14:textId="61AF9750" w:rsidR="00116A1E" w:rsidRPr="008F64CD" w:rsidRDefault="00606F00" w:rsidP="008F64CD">
      <w:pPr>
        <w:numPr>
          <w:ilvl w:val="1"/>
          <w:numId w:val="16"/>
        </w:numPr>
        <w:spacing w:before="120" w:after="120" w:line="276" w:lineRule="auto"/>
        <w:rPr>
          <w:rFonts w:ascii="Garamond" w:hAnsi="Garamond"/>
          <w:iCs/>
          <w:szCs w:val="24"/>
        </w:rPr>
      </w:pPr>
      <w:r w:rsidRPr="008F64CD">
        <w:rPr>
          <w:rFonts w:ascii="Garamond" w:hAnsi="Garamond"/>
          <w:iCs/>
          <w:szCs w:val="24"/>
        </w:rPr>
        <w:t>Lucy Green began an IRB-</w:t>
      </w:r>
      <w:r w:rsidR="00176459" w:rsidRPr="008F64CD">
        <w:rPr>
          <w:rFonts w:ascii="Garamond" w:hAnsi="Garamond"/>
          <w:iCs/>
          <w:szCs w:val="24"/>
        </w:rPr>
        <w:t>approved</w:t>
      </w:r>
      <w:r w:rsidRPr="008F64CD">
        <w:rPr>
          <w:rFonts w:ascii="Garamond" w:hAnsi="Garamond"/>
          <w:iCs/>
          <w:szCs w:val="24"/>
        </w:rPr>
        <w:t xml:space="preserve"> </w:t>
      </w:r>
      <w:r w:rsidRPr="008F64CD">
        <w:rPr>
          <w:rFonts w:ascii="Garamond" w:hAnsi="Garamond"/>
        </w:rPr>
        <w:t xml:space="preserve">empirical study of The State of Writing in the Health Sciences Major at JMU. </w:t>
      </w:r>
      <w:r w:rsidR="00116A1E" w:rsidRPr="008F64CD">
        <w:rPr>
          <w:rFonts w:ascii="Garamond" w:hAnsi="Garamond"/>
        </w:rPr>
        <w:t xml:space="preserve">She conducted surveys and interviews with CHBS faculty, and she will begin analyzing data this summer. </w:t>
      </w:r>
      <w:r w:rsidR="00116A1E" w:rsidRPr="008F64CD">
        <w:rPr>
          <w:rFonts w:ascii="Garamond" w:hAnsi="Garamond"/>
          <w:szCs w:val="24"/>
        </w:rPr>
        <w:t>Preliminary results show that the project will be fruitful:</w:t>
      </w:r>
    </w:p>
    <w:p w14:paraId="28BF10F8" w14:textId="69DA3D2C" w:rsidR="00116A1E" w:rsidRPr="001272E9" w:rsidRDefault="00116A1E" w:rsidP="00116A1E">
      <w:pPr>
        <w:ind w:left="2160"/>
        <w:rPr>
          <w:rFonts w:ascii="Garamond" w:hAnsi="Garamond"/>
          <w:sz w:val="20"/>
        </w:rPr>
      </w:pPr>
      <w:r>
        <w:rPr>
          <w:rFonts w:ascii="Garamond" w:hAnsi="Garamond"/>
          <w:sz w:val="20"/>
        </w:rPr>
        <w:t>-</w:t>
      </w:r>
      <w:r w:rsidRPr="001272E9">
        <w:rPr>
          <w:rFonts w:ascii="Garamond" w:hAnsi="Garamond"/>
          <w:sz w:val="20"/>
        </w:rPr>
        <w:t>Only 35% of respondents reported feeling that their students are prepared to do the writing required of them in their classes.</w:t>
      </w:r>
    </w:p>
    <w:p w14:paraId="44FABDE7" w14:textId="7469B99E" w:rsidR="00116A1E" w:rsidRPr="001272E9" w:rsidRDefault="00116A1E" w:rsidP="00116A1E">
      <w:pPr>
        <w:ind w:left="2160"/>
        <w:rPr>
          <w:rFonts w:ascii="Garamond" w:hAnsi="Garamond"/>
          <w:sz w:val="20"/>
        </w:rPr>
      </w:pPr>
      <w:r>
        <w:rPr>
          <w:rFonts w:ascii="Garamond" w:hAnsi="Garamond"/>
          <w:sz w:val="20"/>
        </w:rPr>
        <w:t>-</w:t>
      </w:r>
      <w:r w:rsidRPr="001272E9">
        <w:rPr>
          <w:rFonts w:ascii="Garamond" w:hAnsi="Garamond"/>
          <w:sz w:val="20"/>
        </w:rPr>
        <w:t>A mere 20% of respondents agreed that students who graduate with a Health Sciences major are adequately prepared for the writing they will do in graduate school or in their professions. No respondents strongly agreed, and 80 percent gave a negative or neutral response to this item.</w:t>
      </w:r>
    </w:p>
    <w:p w14:paraId="5880529C" w14:textId="77777777" w:rsidR="00116A1E" w:rsidRDefault="00116A1E" w:rsidP="00116A1E">
      <w:pPr>
        <w:ind w:left="2160"/>
        <w:rPr>
          <w:rFonts w:ascii="Garamond" w:hAnsi="Garamond"/>
          <w:sz w:val="20"/>
        </w:rPr>
      </w:pPr>
      <w:r>
        <w:rPr>
          <w:rFonts w:ascii="Garamond" w:hAnsi="Garamond"/>
          <w:sz w:val="20"/>
        </w:rPr>
        <w:t>-</w:t>
      </w:r>
      <w:r w:rsidRPr="001272E9">
        <w:rPr>
          <w:rFonts w:ascii="Garamond" w:hAnsi="Garamond"/>
          <w:sz w:val="20"/>
        </w:rPr>
        <w:t>95% of respondents reported that they encourage their students to visit the University Writing Ce</w:t>
      </w:r>
      <w:r>
        <w:rPr>
          <w:rFonts w:ascii="Garamond" w:hAnsi="Garamond"/>
          <w:sz w:val="20"/>
        </w:rPr>
        <w:t>nter, and 60% confirm that they have</w:t>
      </w:r>
      <w:r w:rsidRPr="001272E9">
        <w:rPr>
          <w:rFonts w:ascii="Garamond" w:hAnsi="Garamond"/>
          <w:sz w:val="20"/>
        </w:rPr>
        <w:t xml:space="preserve"> students </w:t>
      </w:r>
      <w:r>
        <w:rPr>
          <w:rFonts w:ascii="Garamond" w:hAnsi="Garamond"/>
          <w:sz w:val="20"/>
        </w:rPr>
        <w:t>who’ve visited the UWC.</w:t>
      </w:r>
    </w:p>
    <w:p w14:paraId="62542F84" w14:textId="4063796D" w:rsidR="00116A1E" w:rsidRPr="00D17B11" w:rsidRDefault="00116A1E" w:rsidP="00116A1E">
      <w:pPr>
        <w:ind w:left="2160"/>
        <w:rPr>
          <w:rFonts w:ascii="Garamond" w:hAnsi="Garamond"/>
          <w:sz w:val="20"/>
        </w:rPr>
      </w:pPr>
      <w:r>
        <w:rPr>
          <w:rFonts w:ascii="Garamond" w:hAnsi="Garamond"/>
          <w:sz w:val="20"/>
        </w:rPr>
        <w:t>-</w:t>
      </w:r>
      <w:r w:rsidRPr="001272E9">
        <w:rPr>
          <w:rFonts w:ascii="Garamond" w:hAnsi="Garamond"/>
          <w:sz w:val="20"/>
        </w:rPr>
        <w:t>However, 35% said they do not know or are not sure what services the UWC offers students and faculty.</w:t>
      </w:r>
    </w:p>
    <w:p w14:paraId="6B4106A7" w14:textId="21362150" w:rsidR="00B171CE" w:rsidRPr="00B939F3" w:rsidRDefault="00B171CE" w:rsidP="00B939F3">
      <w:pPr>
        <w:spacing w:before="120" w:after="120" w:line="276" w:lineRule="auto"/>
        <w:ind w:left="1080"/>
        <w:rPr>
          <w:rFonts w:ascii="Garamond" w:hAnsi="Garamond"/>
          <w:iCs/>
          <w:szCs w:val="24"/>
        </w:rPr>
      </w:pPr>
    </w:p>
    <w:p w14:paraId="606E6A4B" w14:textId="77777777" w:rsidR="00550363" w:rsidRPr="0042125D" w:rsidRDefault="00550363" w:rsidP="00550363">
      <w:pPr>
        <w:ind w:left="720"/>
        <w:rPr>
          <w:rFonts w:ascii="Garamond" w:hAnsi="Garamond"/>
          <w:szCs w:val="24"/>
        </w:rPr>
      </w:pPr>
    </w:p>
    <w:p w14:paraId="06F09AAA" w14:textId="77777777" w:rsidR="00550363" w:rsidRPr="0042125D" w:rsidRDefault="00550363" w:rsidP="0042125D">
      <w:pPr>
        <w:pStyle w:val="Header2"/>
        <w:rPr>
          <w:rFonts w:ascii="Garamond" w:hAnsi="Garamond"/>
        </w:rPr>
      </w:pPr>
      <w:r w:rsidRPr="0042125D">
        <w:rPr>
          <w:rFonts w:ascii="Garamond" w:hAnsi="Garamond"/>
        </w:rPr>
        <w:t>Assessment</w:t>
      </w:r>
    </w:p>
    <w:p w14:paraId="576A0FF2" w14:textId="77777777" w:rsidR="00550363" w:rsidRPr="0042125D" w:rsidRDefault="00550363" w:rsidP="00550363">
      <w:pPr>
        <w:ind w:left="720"/>
        <w:rPr>
          <w:rFonts w:ascii="Garamond" w:hAnsi="Garamond"/>
          <w:b/>
          <w:sz w:val="28"/>
          <w:szCs w:val="28"/>
        </w:rPr>
      </w:pPr>
    </w:p>
    <w:p w14:paraId="1AF2ACDB" w14:textId="77777777" w:rsidR="00C41D6D" w:rsidRPr="00B939F3" w:rsidRDefault="00C41D6D" w:rsidP="00C41D6D">
      <w:pPr>
        <w:pStyle w:val="Normal1"/>
        <w:rPr>
          <w:rFonts w:ascii="Garamond" w:hAnsi="Garamond" w:cs="Times New Roman"/>
          <w:b/>
          <w:sz w:val="24"/>
          <w:szCs w:val="24"/>
        </w:rPr>
      </w:pPr>
      <w:r w:rsidRPr="00B939F3">
        <w:rPr>
          <w:rFonts w:ascii="Garamond" w:hAnsi="Garamond" w:cs="Times New Roman"/>
          <w:b/>
          <w:sz w:val="24"/>
          <w:szCs w:val="24"/>
        </w:rPr>
        <w:t>Usage and Impact</w:t>
      </w:r>
    </w:p>
    <w:p w14:paraId="6ADDFD49" w14:textId="77777777" w:rsidR="00C41D6D" w:rsidRPr="0042125D" w:rsidRDefault="00C41D6D" w:rsidP="00C41D6D">
      <w:pPr>
        <w:pStyle w:val="Normal1"/>
        <w:rPr>
          <w:rFonts w:ascii="Garamond" w:hAnsi="Garamond" w:cs="Times New Roman"/>
          <w:sz w:val="24"/>
          <w:szCs w:val="24"/>
        </w:rPr>
      </w:pPr>
    </w:p>
    <w:p w14:paraId="614ACE68" w14:textId="03A3F869" w:rsidR="00C41D6D" w:rsidRPr="0042125D" w:rsidRDefault="00C41D6D" w:rsidP="00C41D6D">
      <w:pPr>
        <w:pStyle w:val="Normal1"/>
        <w:rPr>
          <w:rFonts w:ascii="Garamond" w:hAnsi="Garamond" w:cs="Times New Roman"/>
          <w:sz w:val="24"/>
          <w:szCs w:val="24"/>
        </w:rPr>
      </w:pPr>
      <w:r w:rsidRPr="0042125D">
        <w:rPr>
          <w:rFonts w:ascii="Garamond" w:hAnsi="Garamond" w:cs="Times New Roman"/>
          <w:sz w:val="24"/>
          <w:szCs w:val="24"/>
        </w:rPr>
        <w:t>The Univ</w:t>
      </w:r>
      <w:r w:rsidR="00CB20C5" w:rsidRPr="0042125D">
        <w:rPr>
          <w:rFonts w:ascii="Garamond" w:hAnsi="Garamond" w:cs="Times New Roman"/>
          <w:sz w:val="24"/>
          <w:szCs w:val="24"/>
        </w:rPr>
        <w:t>ersity Writing Center held 3</w:t>
      </w:r>
      <w:r w:rsidR="00E44C38">
        <w:rPr>
          <w:rFonts w:ascii="Garamond" w:hAnsi="Garamond" w:cs="Times New Roman"/>
          <w:sz w:val="24"/>
          <w:szCs w:val="24"/>
        </w:rPr>
        <w:t>011</w:t>
      </w:r>
      <w:r w:rsidR="00CB20C5" w:rsidRPr="0042125D">
        <w:rPr>
          <w:rFonts w:ascii="Garamond" w:hAnsi="Garamond" w:cs="Times New Roman"/>
          <w:sz w:val="24"/>
          <w:szCs w:val="24"/>
        </w:rPr>
        <w:t xml:space="preserve"> </w:t>
      </w:r>
      <w:r w:rsidRPr="0042125D">
        <w:rPr>
          <w:rFonts w:ascii="Garamond" w:hAnsi="Garamond" w:cs="Times New Roman"/>
          <w:sz w:val="24"/>
          <w:szCs w:val="24"/>
        </w:rPr>
        <w:t xml:space="preserve">appointments during the </w:t>
      </w:r>
      <w:r w:rsidR="00CB20C5" w:rsidRPr="0042125D">
        <w:rPr>
          <w:rFonts w:ascii="Garamond" w:hAnsi="Garamond" w:cs="Times New Roman"/>
          <w:sz w:val="24"/>
          <w:szCs w:val="24"/>
        </w:rPr>
        <w:t>201</w:t>
      </w:r>
      <w:r w:rsidR="00E44C38">
        <w:rPr>
          <w:rFonts w:ascii="Garamond" w:hAnsi="Garamond" w:cs="Times New Roman"/>
          <w:sz w:val="24"/>
          <w:szCs w:val="24"/>
        </w:rPr>
        <w:t>4</w:t>
      </w:r>
      <w:r w:rsidR="00CB20C5" w:rsidRPr="0042125D">
        <w:rPr>
          <w:rFonts w:ascii="Garamond" w:hAnsi="Garamond" w:cs="Times New Roman"/>
          <w:sz w:val="24"/>
          <w:szCs w:val="24"/>
        </w:rPr>
        <w:t>-201</w:t>
      </w:r>
      <w:r w:rsidR="00E44C38">
        <w:rPr>
          <w:rFonts w:ascii="Garamond" w:hAnsi="Garamond" w:cs="Times New Roman"/>
          <w:sz w:val="24"/>
          <w:szCs w:val="24"/>
        </w:rPr>
        <w:t>5</w:t>
      </w:r>
      <w:r w:rsidRPr="0042125D">
        <w:rPr>
          <w:rFonts w:ascii="Garamond" w:hAnsi="Garamond" w:cs="Times New Roman"/>
          <w:sz w:val="24"/>
          <w:szCs w:val="24"/>
        </w:rPr>
        <w:t xml:space="preserve"> academic year.  </w:t>
      </w:r>
      <w:r w:rsidR="00E44C38">
        <w:rPr>
          <w:rFonts w:ascii="Garamond" w:hAnsi="Garamond" w:cs="Times New Roman"/>
          <w:sz w:val="24"/>
          <w:szCs w:val="24"/>
        </w:rPr>
        <w:t xml:space="preserve">Due to the opening of the Student Success Center, the UWC closed down its Carrier Library satellite. The Rose Library and Athletic Performance Center locations remained open. </w:t>
      </w:r>
      <w:r w:rsidRPr="0042125D">
        <w:rPr>
          <w:rFonts w:ascii="Garamond" w:hAnsi="Garamond" w:cs="Times New Roman"/>
          <w:sz w:val="24"/>
          <w:szCs w:val="24"/>
        </w:rPr>
        <w:t>The breakdown of writing consultations by location is as follows:</w:t>
      </w:r>
    </w:p>
    <w:p w14:paraId="27FACA46" w14:textId="77777777" w:rsidR="00550363" w:rsidRDefault="00550363" w:rsidP="00C41D6D">
      <w:pPr>
        <w:pStyle w:val="Normal1"/>
        <w:rPr>
          <w:rFonts w:ascii="Garamond" w:hAnsi="Garamond" w:cs="Times New Roman"/>
          <w:sz w:val="24"/>
          <w:szCs w:val="24"/>
        </w:rPr>
      </w:pPr>
    </w:p>
    <w:p w14:paraId="6B595DC6" w14:textId="77777777" w:rsidR="0066030F" w:rsidRPr="00BB70D7" w:rsidRDefault="0066030F" w:rsidP="0066030F">
      <w:pPr>
        <w:rPr>
          <w:rFonts w:ascii="Garamond" w:hAnsi="Garamond"/>
          <w:szCs w:val="24"/>
        </w:rPr>
      </w:pPr>
      <w:r w:rsidRPr="00BB70D7">
        <w:rPr>
          <w:rFonts w:ascii="Garamond" w:hAnsi="Garamond"/>
          <w:szCs w:val="24"/>
        </w:rPr>
        <w:t>Fall 2014</w:t>
      </w:r>
    </w:p>
    <w:p w14:paraId="569CA05B" w14:textId="77777777" w:rsidR="0066030F" w:rsidRDefault="0066030F" w:rsidP="0066030F">
      <w:pPr>
        <w:rPr>
          <w:rFonts w:ascii="Garamond" w:eastAsia="Times New Roman" w:hAnsi="Garamond"/>
          <w:color w:val="000000"/>
          <w:szCs w:val="24"/>
        </w:rPr>
      </w:pPr>
    </w:p>
    <w:p w14:paraId="5E6F695E" w14:textId="77777777" w:rsidR="0066030F" w:rsidRPr="00BB70D7" w:rsidRDefault="0066030F" w:rsidP="0066030F">
      <w:pPr>
        <w:rPr>
          <w:rFonts w:ascii="Garamond" w:eastAsia="Times New Roman" w:hAnsi="Garamond"/>
          <w:color w:val="000000"/>
          <w:szCs w:val="24"/>
        </w:rPr>
      </w:pPr>
      <w:r w:rsidRPr="00BB70D7">
        <w:rPr>
          <w:rFonts w:ascii="Garamond" w:eastAsia="Times New Roman" w:hAnsi="Garamond"/>
          <w:color w:val="000000"/>
          <w:szCs w:val="24"/>
        </w:rPr>
        <w:t>Total appointments: 1664</w:t>
      </w:r>
    </w:p>
    <w:p w14:paraId="732A1F7A" w14:textId="77777777" w:rsidR="0066030F" w:rsidRPr="00BB70D7" w:rsidRDefault="0066030F" w:rsidP="0066030F">
      <w:pPr>
        <w:ind w:firstLine="720"/>
        <w:rPr>
          <w:rFonts w:ascii="Garamond" w:eastAsia="Times New Roman" w:hAnsi="Garamond"/>
          <w:color w:val="000000"/>
          <w:szCs w:val="24"/>
        </w:rPr>
      </w:pPr>
      <w:r w:rsidRPr="00BB70D7">
        <w:rPr>
          <w:rFonts w:ascii="Garamond" w:eastAsia="Times New Roman" w:hAnsi="Garamond"/>
          <w:color w:val="000000"/>
          <w:szCs w:val="24"/>
        </w:rPr>
        <w:t>SSC appts: 1152</w:t>
      </w:r>
    </w:p>
    <w:p w14:paraId="32066D7A" w14:textId="77777777" w:rsidR="0066030F" w:rsidRPr="00BB70D7" w:rsidRDefault="0066030F" w:rsidP="0066030F">
      <w:pPr>
        <w:ind w:firstLine="720"/>
        <w:rPr>
          <w:rFonts w:ascii="Garamond" w:eastAsia="Times New Roman" w:hAnsi="Garamond"/>
          <w:color w:val="000000"/>
          <w:szCs w:val="24"/>
        </w:rPr>
      </w:pPr>
      <w:r w:rsidRPr="00BB70D7">
        <w:rPr>
          <w:rFonts w:ascii="Garamond" w:eastAsia="Times New Roman" w:hAnsi="Garamond"/>
          <w:color w:val="000000"/>
          <w:szCs w:val="24"/>
        </w:rPr>
        <w:t>SSC walk-ins: 352 (compared to 99 in Fall 2013. That’s an increase of 256%.)</w:t>
      </w:r>
    </w:p>
    <w:p w14:paraId="3BA2B95D" w14:textId="447D9243" w:rsidR="0066030F" w:rsidRPr="00BB70D7" w:rsidRDefault="0066030F" w:rsidP="0066030F">
      <w:pPr>
        <w:ind w:firstLine="720"/>
        <w:rPr>
          <w:rFonts w:ascii="Garamond" w:eastAsia="Times New Roman" w:hAnsi="Garamond"/>
          <w:color w:val="000000"/>
          <w:szCs w:val="24"/>
        </w:rPr>
      </w:pPr>
      <w:r w:rsidRPr="00BB70D7">
        <w:rPr>
          <w:rFonts w:ascii="Garamond" w:eastAsia="Times New Roman" w:hAnsi="Garamond"/>
          <w:color w:val="000000"/>
          <w:szCs w:val="24"/>
        </w:rPr>
        <w:t xml:space="preserve">Rose: 101 </w:t>
      </w:r>
    </w:p>
    <w:p w14:paraId="6CADE8AB" w14:textId="3F342830" w:rsidR="0066030F" w:rsidRPr="00BB70D7" w:rsidRDefault="00E44C38" w:rsidP="0066030F">
      <w:pPr>
        <w:rPr>
          <w:rFonts w:ascii="Garamond" w:eastAsia="Times New Roman" w:hAnsi="Garamond"/>
          <w:color w:val="000000"/>
          <w:szCs w:val="24"/>
        </w:rPr>
      </w:pPr>
      <w:r>
        <w:rPr>
          <w:rFonts w:ascii="Garamond" w:eastAsia="Times New Roman" w:hAnsi="Garamond"/>
          <w:color w:val="000000"/>
          <w:szCs w:val="24"/>
        </w:rPr>
        <w:t>            </w:t>
      </w:r>
      <w:r w:rsidR="0066030F" w:rsidRPr="00BB70D7">
        <w:rPr>
          <w:rFonts w:ascii="Garamond" w:eastAsia="Times New Roman" w:hAnsi="Garamond"/>
          <w:color w:val="000000"/>
          <w:szCs w:val="24"/>
        </w:rPr>
        <w:t>APC: 26</w:t>
      </w:r>
    </w:p>
    <w:p w14:paraId="66C3D7B0" w14:textId="77777777" w:rsidR="0066030F" w:rsidRPr="00BB70D7" w:rsidRDefault="0066030F" w:rsidP="0066030F">
      <w:pPr>
        <w:rPr>
          <w:rFonts w:ascii="Garamond" w:hAnsi="Garamond"/>
          <w:szCs w:val="24"/>
        </w:rPr>
      </w:pPr>
    </w:p>
    <w:p w14:paraId="0236669D" w14:textId="77777777" w:rsidR="0066030F" w:rsidRPr="00BB70D7" w:rsidRDefault="0066030F" w:rsidP="0066030F">
      <w:pPr>
        <w:rPr>
          <w:rFonts w:ascii="Garamond" w:hAnsi="Garamond"/>
          <w:szCs w:val="24"/>
        </w:rPr>
      </w:pPr>
      <w:r w:rsidRPr="00BB70D7">
        <w:rPr>
          <w:rFonts w:ascii="Garamond" w:hAnsi="Garamond"/>
          <w:szCs w:val="24"/>
        </w:rPr>
        <w:tab/>
        <w:t>SSC appointment usage: 82.5%</w:t>
      </w:r>
    </w:p>
    <w:p w14:paraId="7C0B492F" w14:textId="77777777" w:rsidR="0066030F" w:rsidRPr="00BB70D7" w:rsidRDefault="0066030F" w:rsidP="0066030F">
      <w:pPr>
        <w:rPr>
          <w:rFonts w:ascii="Garamond" w:hAnsi="Garamond"/>
          <w:szCs w:val="24"/>
        </w:rPr>
      </w:pPr>
      <w:r w:rsidRPr="00BB70D7">
        <w:rPr>
          <w:rFonts w:ascii="Garamond" w:hAnsi="Garamond"/>
          <w:szCs w:val="24"/>
        </w:rPr>
        <w:tab/>
        <w:t>SSC walk-in usage: 28%</w:t>
      </w:r>
    </w:p>
    <w:p w14:paraId="58037A19" w14:textId="4EF6967F" w:rsidR="0066030F" w:rsidRPr="00BB70D7" w:rsidRDefault="0066030F" w:rsidP="0066030F">
      <w:pPr>
        <w:rPr>
          <w:rFonts w:ascii="Garamond" w:hAnsi="Garamond"/>
          <w:szCs w:val="24"/>
        </w:rPr>
      </w:pPr>
      <w:r w:rsidRPr="00BB70D7">
        <w:rPr>
          <w:rFonts w:ascii="Garamond" w:hAnsi="Garamond"/>
          <w:szCs w:val="24"/>
        </w:rPr>
        <w:tab/>
        <w:t>Rose</w:t>
      </w:r>
      <w:r w:rsidR="00E44C38">
        <w:rPr>
          <w:rFonts w:ascii="Garamond" w:hAnsi="Garamond"/>
          <w:szCs w:val="24"/>
        </w:rPr>
        <w:t xml:space="preserve"> usage</w:t>
      </w:r>
      <w:r w:rsidRPr="00BB70D7">
        <w:rPr>
          <w:rFonts w:ascii="Garamond" w:hAnsi="Garamond"/>
          <w:szCs w:val="24"/>
        </w:rPr>
        <w:t>: 22%</w:t>
      </w:r>
    </w:p>
    <w:p w14:paraId="187002C0" w14:textId="2AF663EC" w:rsidR="0066030F" w:rsidRPr="00BB70D7" w:rsidRDefault="0066030F" w:rsidP="0066030F">
      <w:pPr>
        <w:rPr>
          <w:rFonts w:ascii="Garamond" w:hAnsi="Garamond"/>
          <w:szCs w:val="24"/>
        </w:rPr>
      </w:pPr>
      <w:r w:rsidRPr="00BB70D7">
        <w:rPr>
          <w:rFonts w:ascii="Garamond" w:hAnsi="Garamond"/>
          <w:szCs w:val="24"/>
        </w:rPr>
        <w:lastRenderedPageBreak/>
        <w:tab/>
        <w:t>APC</w:t>
      </w:r>
      <w:r w:rsidR="00E44C38">
        <w:rPr>
          <w:rFonts w:ascii="Garamond" w:hAnsi="Garamond"/>
          <w:szCs w:val="24"/>
        </w:rPr>
        <w:t xml:space="preserve"> usage</w:t>
      </w:r>
      <w:r w:rsidRPr="00BB70D7">
        <w:rPr>
          <w:rFonts w:ascii="Garamond" w:hAnsi="Garamond"/>
          <w:szCs w:val="24"/>
        </w:rPr>
        <w:t>: 8%</w:t>
      </w:r>
    </w:p>
    <w:p w14:paraId="1B7E47FE" w14:textId="77777777" w:rsidR="0066030F" w:rsidRDefault="0066030F" w:rsidP="0066030F">
      <w:pPr>
        <w:rPr>
          <w:rFonts w:ascii="Garamond" w:eastAsia="Times New Roman" w:hAnsi="Garamond"/>
          <w:color w:val="000000"/>
          <w:szCs w:val="24"/>
        </w:rPr>
      </w:pPr>
    </w:p>
    <w:p w14:paraId="1C264848" w14:textId="77777777" w:rsidR="0066030F" w:rsidRPr="00BB70D7" w:rsidRDefault="0066030F" w:rsidP="0066030F">
      <w:pPr>
        <w:rPr>
          <w:rFonts w:ascii="Garamond" w:eastAsia="Times New Roman" w:hAnsi="Garamond"/>
          <w:color w:val="000000"/>
          <w:szCs w:val="24"/>
        </w:rPr>
      </w:pPr>
      <w:r w:rsidRPr="00BB70D7">
        <w:rPr>
          <w:rFonts w:ascii="Garamond" w:eastAsia="Times New Roman" w:hAnsi="Garamond"/>
          <w:color w:val="000000"/>
          <w:szCs w:val="24"/>
        </w:rPr>
        <w:t>Spring 2015</w:t>
      </w:r>
    </w:p>
    <w:p w14:paraId="3A66F97F" w14:textId="77777777" w:rsidR="0066030F" w:rsidRDefault="0066030F" w:rsidP="0066030F">
      <w:pPr>
        <w:rPr>
          <w:rFonts w:ascii="Garamond" w:eastAsia="Times New Roman" w:hAnsi="Garamond"/>
          <w:color w:val="000000"/>
          <w:szCs w:val="24"/>
        </w:rPr>
      </w:pPr>
    </w:p>
    <w:p w14:paraId="03AFC568" w14:textId="3CF97DBD" w:rsidR="0066030F" w:rsidRPr="00BB70D7" w:rsidRDefault="0066030F" w:rsidP="0066030F">
      <w:pPr>
        <w:rPr>
          <w:rFonts w:ascii="Garamond" w:eastAsia="Times New Roman" w:hAnsi="Garamond"/>
          <w:color w:val="000000"/>
          <w:szCs w:val="24"/>
        </w:rPr>
      </w:pPr>
      <w:r w:rsidRPr="00BB70D7">
        <w:rPr>
          <w:rFonts w:ascii="Garamond" w:eastAsia="Times New Roman" w:hAnsi="Garamond"/>
          <w:color w:val="000000"/>
          <w:szCs w:val="24"/>
        </w:rPr>
        <w:t xml:space="preserve">Total appointments: </w:t>
      </w:r>
      <w:r w:rsidR="00E44C38">
        <w:rPr>
          <w:rFonts w:ascii="Garamond" w:eastAsia="Times New Roman" w:hAnsi="Garamond"/>
          <w:color w:val="000000"/>
          <w:szCs w:val="24"/>
        </w:rPr>
        <w:t>1347</w:t>
      </w:r>
    </w:p>
    <w:p w14:paraId="0934D2B1" w14:textId="418087C5" w:rsidR="0066030F" w:rsidRPr="00BB70D7" w:rsidRDefault="0066030F" w:rsidP="0066030F">
      <w:pPr>
        <w:ind w:firstLine="720"/>
        <w:rPr>
          <w:rFonts w:ascii="Garamond" w:eastAsia="Times New Roman" w:hAnsi="Garamond"/>
          <w:color w:val="000000"/>
          <w:szCs w:val="24"/>
        </w:rPr>
      </w:pPr>
      <w:r w:rsidRPr="00BB70D7">
        <w:rPr>
          <w:rFonts w:ascii="Garamond" w:eastAsia="Times New Roman" w:hAnsi="Garamond"/>
          <w:color w:val="000000"/>
          <w:szCs w:val="24"/>
        </w:rPr>
        <w:t>SSC appts: 11</w:t>
      </w:r>
      <w:r>
        <w:rPr>
          <w:rFonts w:ascii="Garamond" w:eastAsia="Times New Roman" w:hAnsi="Garamond"/>
          <w:color w:val="000000"/>
          <w:szCs w:val="24"/>
        </w:rPr>
        <w:t>00</w:t>
      </w:r>
    </w:p>
    <w:p w14:paraId="4A8394B6" w14:textId="77777777" w:rsidR="0066030F" w:rsidRPr="00BB70D7" w:rsidRDefault="0066030F" w:rsidP="0066030F">
      <w:pPr>
        <w:ind w:firstLine="720"/>
        <w:rPr>
          <w:rFonts w:ascii="Garamond" w:eastAsia="Times New Roman" w:hAnsi="Garamond"/>
          <w:color w:val="000000"/>
          <w:szCs w:val="24"/>
        </w:rPr>
      </w:pPr>
      <w:r w:rsidRPr="00BB70D7">
        <w:rPr>
          <w:rFonts w:ascii="Garamond" w:eastAsia="Times New Roman" w:hAnsi="Garamond"/>
          <w:color w:val="000000"/>
          <w:szCs w:val="24"/>
        </w:rPr>
        <w:t xml:space="preserve">SSC walk-ins: 198 </w:t>
      </w:r>
    </w:p>
    <w:p w14:paraId="34ECDDBD" w14:textId="77777777" w:rsidR="0066030F" w:rsidRPr="00BB70D7" w:rsidRDefault="0066030F" w:rsidP="0066030F">
      <w:pPr>
        <w:ind w:firstLine="720"/>
        <w:rPr>
          <w:rFonts w:ascii="Garamond" w:eastAsia="Times New Roman" w:hAnsi="Garamond"/>
          <w:szCs w:val="24"/>
        </w:rPr>
      </w:pPr>
      <w:r w:rsidRPr="00BB70D7">
        <w:rPr>
          <w:rFonts w:ascii="Garamond" w:eastAsia="Times New Roman" w:hAnsi="Garamond"/>
          <w:color w:val="000000"/>
          <w:szCs w:val="24"/>
        </w:rPr>
        <w:t xml:space="preserve">Rose: </w:t>
      </w:r>
      <w:r w:rsidRPr="00BB70D7">
        <w:rPr>
          <w:rFonts w:ascii="Garamond" w:eastAsia="Times New Roman" w:hAnsi="Garamond"/>
          <w:szCs w:val="24"/>
        </w:rPr>
        <w:t>35</w:t>
      </w:r>
    </w:p>
    <w:p w14:paraId="7E036A68" w14:textId="77777777" w:rsidR="0066030F" w:rsidRPr="00BB70D7" w:rsidRDefault="0066030F" w:rsidP="0066030F">
      <w:pPr>
        <w:spacing w:line="276" w:lineRule="auto"/>
        <w:ind w:firstLine="720"/>
        <w:rPr>
          <w:rFonts w:ascii="Garamond" w:eastAsia="Times New Roman" w:hAnsi="Garamond"/>
          <w:szCs w:val="24"/>
        </w:rPr>
      </w:pPr>
      <w:r w:rsidRPr="00BB70D7">
        <w:rPr>
          <w:rFonts w:ascii="Garamond" w:eastAsia="Times New Roman" w:hAnsi="Garamond"/>
          <w:color w:val="000000"/>
          <w:szCs w:val="24"/>
        </w:rPr>
        <w:t>APC: 14</w:t>
      </w:r>
    </w:p>
    <w:p w14:paraId="6416144F" w14:textId="77777777" w:rsidR="0066030F" w:rsidRPr="00BB70D7" w:rsidRDefault="0066030F" w:rsidP="0066030F">
      <w:pPr>
        <w:rPr>
          <w:rFonts w:ascii="Garamond" w:hAnsi="Garamond"/>
          <w:szCs w:val="24"/>
        </w:rPr>
      </w:pPr>
    </w:p>
    <w:p w14:paraId="3E1616B5" w14:textId="77777777" w:rsidR="0066030F" w:rsidRPr="00BB70D7" w:rsidRDefault="0066030F" w:rsidP="0066030F">
      <w:pPr>
        <w:rPr>
          <w:rFonts w:ascii="Garamond" w:hAnsi="Garamond"/>
          <w:szCs w:val="24"/>
        </w:rPr>
      </w:pPr>
      <w:r w:rsidRPr="00BB70D7">
        <w:rPr>
          <w:rFonts w:ascii="Garamond" w:hAnsi="Garamond"/>
          <w:szCs w:val="24"/>
        </w:rPr>
        <w:tab/>
        <w:t>SSC appointment usage: 75.5%</w:t>
      </w:r>
    </w:p>
    <w:p w14:paraId="7071E8D4" w14:textId="77777777" w:rsidR="0066030F" w:rsidRPr="00BB70D7" w:rsidRDefault="0066030F" w:rsidP="0066030F">
      <w:pPr>
        <w:rPr>
          <w:rFonts w:ascii="Garamond" w:hAnsi="Garamond"/>
          <w:szCs w:val="24"/>
        </w:rPr>
      </w:pPr>
      <w:r w:rsidRPr="00BB70D7">
        <w:rPr>
          <w:rFonts w:ascii="Garamond" w:hAnsi="Garamond"/>
          <w:szCs w:val="24"/>
        </w:rPr>
        <w:tab/>
        <w:t>SSC walk-in usage: 12%</w:t>
      </w:r>
    </w:p>
    <w:p w14:paraId="5CFE0D5E" w14:textId="1E484988" w:rsidR="0066030F" w:rsidRPr="00BB70D7" w:rsidRDefault="0066030F" w:rsidP="0066030F">
      <w:pPr>
        <w:rPr>
          <w:rFonts w:ascii="Garamond" w:hAnsi="Garamond"/>
          <w:szCs w:val="24"/>
        </w:rPr>
      </w:pPr>
      <w:r w:rsidRPr="00BB70D7">
        <w:rPr>
          <w:rFonts w:ascii="Garamond" w:hAnsi="Garamond"/>
          <w:szCs w:val="24"/>
        </w:rPr>
        <w:tab/>
        <w:t>Rose</w:t>
      </w:r>
      <w:r w:rsidR="00E44C38">
        <w:rPr>
          <w:rFonts w:ascii="Garamond" w:hAnsi="Garamond"/>
          <w:szCs w:val="24"/>
        </w:rPr>
        <w:t xml:space="preserve"> usage</w:t>
      </w:r>
      <w:r w:rsidRPr="00BB70D7">
        <w:rPr>
          <w:rFonts w:ascii="Garamond" w:hAnsi="Garamond"/>
          <w:szCs w:val="24"/>
        </w:rPr>
        <w:t>: (not available through Sharepoint)</w:t>
      </w:r>
    </w:p>
    <w:p w14:paraId="340A9643" w14:textId="5639AEB6" w:rsidR="0066030F" w:rsidRDefault="0066030F" w:rsidP="0066030F">
      <w:pPr>
        <w:pStyle w:val="Normal1"/>
        <w:rPr>
          <w:rFonts w:ascii="Garamond" w:hAnsi="Garamond" w:cs="Times New Roman"/>
          <w:sz w:val="24"/>
          <w:szCs w:val="24"/>
        </w:rPr>
      </w:pPr>
      <w:r w:rsidRPr="00BB70D7">
        <w:rPr>
          <w:rFonts w:ascii="Garamond" w:hAnsi="Garamond"/>
          <w:sz w:val="24"/>
          <w:szCs w:val="24"/>
        </w:rPr>
        <w:tab/>
        <w:t>APC</w:t>
      </w:r>
      <w:r w:rsidR="00E44C38">
        <w:rPr>
          <w:rFonts w:ascii="Garamond" w:hAnsi="Garamond"/>
          <w:sz w:val="24"/>
          <w:szCs w:val="24"/>
        </w:rPr>
        <w:t xml:space="preserve"> usage</w:t>
      </w:r>
      <w:r w:rsidRPr="00BB70D7">
        <w:rPr>
          <w:rFonts w:ascii="Garamond" w:hAnsi="Garamond"/>
          <w:sz w:val="24"/>
          <w:szCs w:val="24"/>
        </w:rPr>
        <w:t>: (not available through Sharepoint)</w:t>
      </w:r>
    </w:p>
    <w:p w14:paraId="153347E2" w14:textId="77777777" w:rsidR="0066030F" w:rsidRPr="0042125D" w:rsidRDefault="0066030F" w:rsidP="00C41D6D">
      <w:pPr>
        <w:pStyle w:val="Normal1"/>
        <w:rPr>
          <w:rFonts w:ascii="Garamond" w:hAnsi="Garamond" w:cs="Times New Roman"/>
          <w:sz w:val="24"/>
          <w:szCs w:val="24"/>
        </w:rPr>
      </w:pPr>
    </w:p>
    <w:p w14:paraId="5B2EADE1" w14:textId="2F661A96" w:rsidR="00C41D6D" w:rsidRPr="0036425D" w:rsidRDefault="00AA4231" w:rsidP="00C41D6D">
      <w:pPr>
        <w:pStyle w:val="Normal1"/>
        <w:rPr>
          <w:rFonts w:ascii="Garamond" w:hAnsi="Garamond" w:cs="Times New Roman"/>
          <w:sz w:val="24"/>
          <w:szCs w:val="24"/>
        </w:rPr>
      </w:pPr>
      <w:r w:rsidRPr="0036425D">
        <w:rPr>
          <w:rFonts w:ascii="Garamond" w:hAnsi="Garamond" w:cs="Times New Roman"/>
          <w:b/>
          <w:sz w:val="24"/>
          <w:szCs w:val="24"/>
        </w:rPr>
        <w:t>Client</w:t>
      </w:r>
      <w:r w:rsidR="00C41D6D" w:rsidRPr="0036425D">
        <w:rPr>
          <w:rFonts w:ascii="Garamond" w:hAnsi="Garamond" w:cs="Times New Roman"/>
          <w:b/>
          <w:sz w:val="24"/>
          <w:szCs w:val="24"/>
        </w:rPr>
        <w:t xml:space="preserve"> Surveys</w:t>
      </w:r>
    </w:p>
    <w:p w14:paraId="6115D0E8" w14:textId="77777777" w:rsidR="00AA4231" w:rsidRPr="0042125D" w:rsidRDefault="002B4B62" w:rsidP="00AA4231">
      <w:pPr>
        <w:rPr>
          <w:rFonts w:ascii="Garamond" w:eastAsia="Times New Roman" w:hAnsi="Garamond"/>
          <w:szCs w:val="24"/>
        </w:rPr>
      </w:pPr>
      <w:r w:rsidRPr="0042125D">
        <w:rPr>
          <w:rFonts w:ascii="Garamond" w:hAnsi="Garamond"/>
          <w:szCs w:val="24"/>
        </w:rPr>
        <w:t>Following each</w:t>
      </w:r>
      <w:r w:rsidR="00C41D6D" w:rsidRPr="0042125D">
        <w:rPr>
          <w:rFonts w:ascii="Garamond" w:hAnsi="Garamond"/>
          <w:szCs w:val="24"/>
        </w:rPr>
        <w:t xml:space="preserve"> tutorial, students are emailed a post-session survey.  We have observed that th</w:t>
      </w:r>
      <w:r w:rsidRPr="0042125D">
        <w:rPr>
          <w:rFonts w:ascii="Garamond" w:hAnsi="Garamond"/>
          <w:szCs w:val="24"/>
        </w:rPr>
        <w:t>is method is the best means to elicit</w:t>
      </w:r>
      <w:r w:rsidR="00C41D6D" w:rsidRPr="0042125D">
        <w:rPr>
          <w:rFonts w:ascii="Garamond" w:hAnsi="Garamond"/>
          <w:szCs w:val="24"/>
        </w:rPr>
        <w:t xml:space="preserve"> feedback from UWC clients.  This year, we’ve collected a total of </w:t>
      </w:r>
      <w:r w:rsidR="00AA4231">
        <w:rPr>
          <w:rFonts w:ascii="Garamond" w:hAnsi="Garamond"/>
          <w:szCs w:val="24"/>
        </w:rPr>
        <w:t>377</w:t>
      </w:r>
      <w:r w:rsidR="00C41D6D" w:rsidRPr="0042125D">
        <w:rPr>
          <w:rFonts w:ascii="Garamond" w:hAnsi="Garamond"/>
          <w:szCs w:val="24"/>
        </w:rPr>
        <w:t xml:space="preserve"> post-session surveys.  The most valuable results from this</w:t>
      </w:r>
      <w:r w:rsidRPr="0042125D">
        <w:rPr>
          <w:rFonts w:ascii="Garamond" w:hAnsi="Garamond"/>
          <w:szCs w:val="24"/>
        </w:rPr>
        <w:t xml:space="preserve"> survey</w:t>
      </w:r>
      <w:r w:rsidR="00C41D6D" w:rsidRPr="0042125D">
        <w:rPr>
          <w:rFonts w:ascii="Garamond" w:hAnsi="Garamond"/>
          <w:szCs w:val="24"/>
        </w:rPr>
        <w:t xml:space="preserve"> illustrate that we are fulfilling one of our mission-statement objectives</w:t>
      </w:r>
      <w:r w:rsidR="00AA4231">
        <w:rPr>
          <w:rFonts w:ascii="Garamond" w:hAnsi="Garamond"/>
          <w:szCs w:val="24"/>
        </w:rPr>
        <w:t xml:space="preserve">: </w:t>
      </w:r>
      <w:r w:rsidR="00AA4231" w:rsidRPr="0042125D">
        <w:rPr>
          <w:rFonts w:ascii="Garamond" w:eastAsia="Times New Roman" w:hAnsi="Garamond" w:cs="Arial"/>
          <w:color w:val="414042"/>
          <w:szCs w:val="24"/>
          <w:shd w:val="clear" w:color="auto" w:fill="FFFFFF"/>
        </w:rPr>
        <w:t>The University Writing Center empowers students, faculty, and staff to develop writing and critical thinking skills by providing personalized consultations, resources, and programs that strengthen writing across campus. </w:t>
      </w:r>
    </w:p>
    <w:p w14:paraId="1CFC33AB" w14:textId="77777777" w:rsidR="00AA4231" w:rsidRDefault="00AA4231" w:rsidP="00C41D6D">
      <w:pPr>
        <w:pStyle w:val="Normal1"/>
        <w:ind w:left="720"/>
        <w:rPr>
          <w:rFonts w:ascii="Garamond" w:hAnsi="Garamond" w:cs="Times New Roman"/>
          <w:i/>
          <w:sz w:val="24"/>
          <w:szCs w:val="24"/>
        </w:rPr>
      </w:pPr>
    </w:p>
    <w:p w14:paraId="05F815AC" w14:textId="77777777" w:rsidR="00C41D6D" w:rsidRPr="0042125D" w:rsidRDefault="00C41D6D" w:rsidP="00C41D6D">
      <w:pPr>
        <w:pStyle w:val="Normal1"/>
        <w:ind w:left="720"/>
        <w:rPr>
          <w:rFonts w:ascii="Garamond" w:hAnsi="Garamond" w:cs="Times New Roman"/>
          <w:sz w:val="24"/>
          <w:szCs w:val="24"/>
        </w:rPr>
      </w:pPr>
      <w:r w:rsidRPr="0042125D">
        <w:rPr>
          <w:rFonts w:ascii="Garamond" w:hAnsi="Garamond" w:cs="Times New Roman"/>
          <w:sz w:val="24"/>
          <w:szCs w:val="24"/>
        </w:rPr>
        <w:t>The post-session surveys indicated:</w:t>
      </w:r>
    </w:p>
    <w:p w14:paraId="19642321" w14:textId="77777777" w:rsidR="00C41D6D" w:rsidRPr="0042125D" w:rsidRDefault="00C41D6D" w:rsidP="00C41D6D">
      <w:pPr>
        <w:pStyle w:val="Normal1"/>
        <w:ind w:left="720"/>
        <w:rPr>
          <w:rFonts w:ascii="Garamond" w:hAnsi="Garamond" w:cs="Times New Roman"/>
          <w:sz w:val="24"/>
          <w:szCs w:val="24"/>
        </w:rPr>
      </w:pPr>
    </w:p>
    <w:p w14:paraId="31A472F2" w14:textId="2A5D4220" w:rsidR="00C41D6D" w:rsidRPr="0042125D" w:rsidRDefault="00CB20C5" w:rsidP="00C41D6D">
      <w:pPr>
        <w:pStyle w:val="Normal1"/>
        <w:ind w:left="1440"/>
        <w:rPr>
          <w:rFonts w:ascii="Garamond" w:hAnsi="Garamond" w:cs="Times New Roman"/>
          <w:sz w:val="24"/>
          <w:szCs w:val="24"/>
        </w:rPr>
      </w:pPr>
      <w:r w:rsidRPr="0042125D">
        <w:rPr>
          <w:rFonts w:ascii="Garamond" w:hAnsi="Garamond" w:cs="Times New Roman"/>
          <w:sz w:val="24"/>
          <w:szCs w:val="24"/>
        </w:rPr>
        <w:t>-9</w:t>
      </w:r>
      <w:r w:rsidR="00AA4231">
        <w:rPr>
          <w:rFonts w:ascii="Garamond" w:hAnsi="Garamond" w:cs="Times New Roman"/>
          <w:sz w:val="24"/>
          <w:szCs w:val="24"/>
        </w:rPr>
        <w:t>3</w:t>
      </w:r>
      <w:r w:rsidR="00C41D6D" w:rsidRPr="0042125D">
        <w:rPr>
          <w:rFonts w:ascii="Garamond" w:hAnsi="Garamond" w:cs="Times New Roman"/>
          <w:sz w:val="24"/>
          <w:szCs w:val="24"/>
        </w:rPr>
        <w:t xml:space="preserve">% of respondents </w:t>
      </w:r>
      <w:r w:rsidRPr="0042125D">
        <w:rPr>
          <w:rFonts w:ascii="Garamond" w:hAnsi="Garamond" w:cs="Times New Roman"/>
          <w:sz w:val="24"/>
          <w:szCs w:val="24"/>
        </w:rPr>
        <w:t>felt that the advice they received from their tutor was “useful” or “very useful.”</w:t>
      </w:r>
    </w:p>
    <w:p w14:paraId="0CDA6C1C" w14:textId="77777777" w:rsidR="00CB20C5" w:rsidRPr="0042125D" w:rsidRDefault="00CB20C5" w:rsidP="00C41D6D">
      <w:pPr>
        <w:pStyle w:val="Normal1"/>
        <w:ind w:left="1440"/>
        <w:rPr>
          <w:rFonts w:ascii="Garamond" w:hAnsi="Garamond" w:cs="Times New Roman"/>
          <w:sz w:val="24"/>
          <w:szCs w:val="24"/>
        </w:rPr>
      </w:pPr>
    </w:p>
    <w:p w14:paraId="32721882" w14:textId="5F934D58" w:rsidR="00C41D6D" w:rsidRPr="0042125D" w:rsidRDefault="00CB20C5" w:rsidP="00C41D6D">
      <w:pPr>
        <w:pStyle w:val="Normal1"/>
        <w:ind w:left="1440"/>
        <w:rPr>
          <w:rFonts w:ascii="Garamond" w:hAnsi="Garamond" w:cs="Times New Roman"/>
          <w:sz w:val="24"/>
          <w:szCs w:val="24"/>
        </w:rPr>
      </w:pPr>
      <w:r w:rsidRPr="0042125D">
        <w:rPr>
          <w:rFonts w:ascii="Garamond" w:hAnsi="Garamond" w:cs="Times New Roman"/>
          <w:sz w:val="24"/>
          <w:szCs w:val="24"/>
        </w:rPr>
        <w:t>-96</w:t>
      </w:r>
      <w:r w:rsidR="00AA4231">
        <w:rPr>
          <w:rFonts w:ascii="Garamond" w:hAnsi="Garamond" w:cs="Times New Roman"/>
          <w:sz w:val="24"/>
          <w:szCs w:val="24"/>
        </w:rPr>
        <w:t>.5</w:t>
      </w:r>
      <w:r w:rsidR="00C41D6D" w:rsidRPr="0042125D">
        <w:rPr>
          <w:rFonts w:ascii="Garamond" w:hAnsi="Garamond" w:cs="Times New Roman"/>
          <w:sz w:val="24"/>
          <w:szCs w:val="24"/>
        </w:rPr>
        <w:t>% of respondents</w:t>
      </w:r>
      <w:r w:rsidR="00C41D6D" w:rsidRPr="0042125D">
        <w:rPr>
          <w:rFonts w:ascii="Garamond" w:hAnsi="Garamond" w:cs="Times New Roman"/>
          <w:b/>
          <w:sz w:val="24"/>
          <w:szCs w:val="24"/>
        </w:rPr>
        <w:t xml:space="preserve"> </w:t>
      </w:r>
      <w:r w:rsidRPr="0042125D">
        <w:rPr>
          <w:rFonts w:ascii="Garamond" w:hAnsi="Garamond" w:cs="Times New Roman"/>
          <w:sz w:val="24"/>
          <w:szCs w:val="24"/>
        </w:rPr>
        <w:t>felt more prepared to write or revise their paper following the session</w:t>
      </w:r>
      <w:r w:rsidR="00C41D6D" w:rsidRPr="0042125D">
        <w:rPr>
          <w:rFonts w:ascii="Garamond" w:hAnsi="Garamond" w:cs="Times New Roman"/>
          <w:sz w:val="24"/>
          <w:szCs w:val="24"/>
        </w:rPr>
        <w:t>.</w:t>
      </w:r>
    </w:p>
    <w:p w14:paraId="5E22FEC1" w14:textId="77777777" w:rsidR="00C41D6D" w:rsidRPr="0042125D" w:rsidRDefault="00C41D6D" w:rsidP="00C41D6D">
      <w:pPr>
        <w:pStyle w:val="Normal1"/>
        <w:ind w:left="1440"/>
        <w:rPr>
          <w:rFonts w:ascii="Garamond" w:hAnsi="Garamond" w:cs="Times New Roman"/>
          <w:sz w:val="24"/>
          <w:szCs w:val="24"/>
        </w:rPr>
      </w:pPr>
    </w:p>
    <w:p w14:paraId="7F940F8C" w14:textId="675BB0AF" w:rsidR="00CB20C5" w:rsidRPr="0042125D" w:rsidRDefault="000A1112" w:rsidP="00C41D6D">
      <w:pPr>
        <w:pStyle w:val="Normal1"/>
        <w:ind w:left="1440"/>
        <w:rPr>
          <w:rFonts w:ascii="Garamond" w:hAnsi="Garamond" w:cs="Times New Roman"/>
          <w:sz w:val="24"/>
          <w:szCs w:val="24"/>
        </w:rPr>
      </w:pPr>
      <w:r>
        <w:rPr>
          <w:rFonts w:ascii="Garamond" w:hAnsi="Garamond" w:cs="Times New Roman"/>
          <w:sz w:val="24"/>
          <w:szCs w:val="24"/>
        </w:rPr>
        <w:t>-92</w:t>
      </w:r>
      <w:r w:rsidR="00C41D6D" w:rsidRPr="0042125D">
        <w:rPr>
          <w:rFonts w:ascii="Garamond" w:hAnsi="Garamond" w:cs="Times New Roman"/>
          <w:sz w:val="24"/>
          <w:szCs w:val="24"/>
        </w:rPr>
        <w:t>% of respondents</w:t>
      </w:r>
      <w:r w:rsidR="00CB20C5" w:rsidRPr="0042125D">
        <w:rPr>
          <w:rFonts w:ascii="Garamond" w:hAnsi="Garamond" w:cs="Times New Roman"/>
          <w:sz w:val="24"/>
          <w:szCs w:val="24"/>
        </w:rPr>
        <w:t xml:space="preserve"> stated that they learned something about writing that they could apply to future writing tasks.</w:t>
      </w:r>
    </w:p>
    <w:p w14:paraId="6E255B1A" w14:textId="77777777" w:rsidR="00CB20C5" w:rsidRPr="0042125D" w:rsidRDefault="00CB20C5" w:rsidP="00C41D6D">
      <w:pPr>
        <w:pStyle w:val="Normal1"/>
        <w:ind w:left="1440"/>
        <w:rPr>
          <w:rFonts w:ascii="Garamond" w:hAnsi="Garamond" w:cs="Times New Roman"/>
          <w:sz w:val="24"/>
          <w:szCs w:val="24"/>
        </w:rPr>
      </w:pPr>
    </w:p>
    <w:p w14:paraId="4C395244" w14:textId="77777777" w:rsidR="00CB20C5" w:rsidRPr="0042125D" w:rsidRDefault="00CB20C5" w:rsidP="00C41D6D">
      <w:pPr>
        <w:pStyle w:val="Normal1"/>
        <w:ind w:left="2160"/>
        <w:rPr>
          <w:rFonts w:ascii="Garamond" w:hAnsi="Garamond" w:cs="Times New Roman"/>
          <w:sz w:val="24"/>
          <w:szCs w:val="24"/>
        </w:rPr>
      </w:pPr>
    </w:p>
    <w:p w14:paraId="4E15CBB3" w14:textId="4396104D" w:rsidR="00CB20C5" w:rsidRPr="0042125D" w:rsidRDefault="00CB20C5" w:rsidP="00CB20C5">
      <w:pPr>
        <w:pStyle w:val="Normal1"/>
        <w:jc w:val="right"/>
        <w:rPr>
          <w:rFonts w:ascii="Garamond" w:hAnsi="Garamond" w:cs="Times New Roman"/>
          <w:sz w:val="24"/>
          <w:szCs w:val="24"/>
        </w:rPr>
      </w:pPr>
    </w:p>
    <w:p w14:paraId="3534796E" w14:textId="77777777" w:rsidR="00AF10EA" w:rsidRPr="0042125D" w:rsidRDefault="00AF10EA" w:rsidP="00CB20C5">
      <w:pPr>
        <w:pStyle w:val="Normal1"/>
        <w:ind w:left="720"/>
        <w:rPr>
          <w:rFonts w:ascii="Garamond" w:hAnsi="Garamond" w:cs="Times New Roman"/>
          <w:sz w:val="24"/>
          <w:szCs w:val="24"/>
        </w:rPr>
      </w:pPr>
    </w:p>
    <w:p w14:paraId="39233DEA" w14:textId="77777777" w:rsidR="00C41D6D" w:rsidRPr="0042125D" w:rsidRDefault="00C41D6D" w:rsidP="00CB20C5">
      <w:pPr>
        <w:pStyle w:val="Normal1"/>
        <w:ind w:left="720"/>
        <w:rPr>
          <w:rFonts w:ascii="Garamond" w:hAnsi="Garamond" w:cs="Times New Roman"/>
          <w:sz w:val="24"/>
          <w:szCs w:val="24"/>
        </w:rPr>
      </w:pPr>
      <w:r w:rsidRPr="0042125D">
        <w:rPr>
          <w:rFonts w:ascii="Garamond" w:hAnsi="Garamond" w:cs="Times New Roman"/>
          <w:sz w:val="24"/>
          <w:szCs w:val="24"/>
        </w:rPr>
        <w:t xml:space="preserve">These post-session surveys are </w:t>
      </w:r>
      <w:r w:rsidR="00803F58" w:rsidRPr="0042125D">
        <w:rPr>
          <w:rFonts w:ascii="Garamond" w:hAnsi="Garamond" w:cs="Times New Roman"/>
          <w:sz w:val="24"/>
          <w:szCs w:val="24"/>
        </w:rPr>
        <w:t>reviewed</w:t>
      </w:r>
      <w:r w:rsidRPr="0042125D">
        <w:rPr>
          <w:rFonts w:ascii="Garamond" w:hAnsi="Garamond" w:cs="Times New Roman"/>
          <w:sz w:val="24"/>
          <w:szCs w:val="24"/>
        </w:rPr>
        <w:t xml:space="preserve"> regularly and incorporated into weekly emails and prof</w:t>
      </w:r>
      <w:r w:rsidR="00803F58" w:rsidRPr="0042125D">
        <w:rPr>
          <w:rFonts w:ascii="Garamond" w:hAnsi="Garamond" w:cs="Times New Roman"/>
          <w:sz w:val="24"/>
          <w:szCs w:val="24"/>
        </w:rPr>
        <w:t xml:space="preserve">essional development meetings. </w:t>
      </w:r>
      <w:r w:rsidRPr="0042125D">
        <w:rPr>
          <w:rFonts w:ascii="Garamond" w:hAnsi="Garamond" w:cs="Times New Roman"/>
          <w:sz w:val="24"/>
          <w:szCs w:val="24"/>
        </w:rPr>
        <w:t xml:space="preserve">Accordingly, client feedback is immediately addressed in our writing center practice. </w:t>
      </w:r>
    </w:p>
    <w:p w14:paraId="180B0264" w14:textId="77777777" w:rsidR="00C41D6D" w:rsidRPr="0042125D" w:rsidRDefault="00C41D6D" w:rsidP="00C41D6D">
      <w:pPr>
        <w:pStyle w:val="Normal1"/>
        <w:ind w:left="720"/>
        <w:rPr>
          <w:rFonts w:ascii="Garamond" w:hAnsi="Garamond" w:cs="Times New Roman"/>
          <w:sz w:val="24"/>
          <w:szCs w:val="24"/>
        </w:rPr>
      </w:pPr>
    </w:p>
    <w:p w14:paraId="79677BA2" w14:textId="68C653EF" w:rsidR="00C41D6D" w:rsidRPr="0042125D" w:rsidRDefault="00C41D6D" w:rsidP="00C41D6D">
      <w:pPr>
        <w:pStyle w:val="Normal1"/>
        <w:ind w:left="720"/>
        <w:rPr>
          <w:rFonts w:ascii="Garamond" w:hAnsi="Garamond" w:cs="Times New Roman"/>
          <w:sz w:val="24"/>
          <w:szCs w:val="24"/>
        </w:rPr>
      </w:pPr>
      <w:r w:rsidRPr="0042125D">
        <w:rPr>
          <w:rFonts w:ascii="Garamond" w:hAnsi="Garamond" w:cs="Times New Roman"/>
          <w:sz w:val="24"/>
          <w:szCs w:val="24"/>
        </w:rPr>
        <w:t xml:space="preserve">The </w:t>
      </w:r>
      <w:r w:rsidR="00AF10EA" w:rsidRPr="0042125D">
        <w:rPr>
          <w:rFonts w:ascii="Garamond" w:hAnsi="Garamond" w:cs="Times New Roman"/>
          <w:sz w:val="24"/>
          <w:szCs w:val="24"/>
        </w:rPr>
        <w:t xml:space="preserve">post-session survey </w:t>
      </w:r>
      <w:r w:rsidRPr="0042125D">
        <w:rPr>
          <w:rFonts w:ascii="Garamond" w:hAnsi="Garamond" w:cs="Times New Roman"/>
          <w:sz w:val="24"/>
          <w:szCs w:val="24"/>
        </w:rPr>
        <w:t xml:space="preserve">results also show that professor recommendation continues to be our number one reason </w:t>
      </w:r>
      <w:r w:rsidR="00803F58" w:rsidRPr="0042125D">
        <w:rPr>
          <w:rFonts w:ascii="Garamond" w:hAnsi="Garamond" w:cs="Times New Roman"/>
          <w:sz w:val="24"/>
          <w:szCs w:val="24"/>
        </w:rPr>
        <w:t>why</w:t>
      </w:r>
      <w:r w:rsidRPr="0042125D">
        <w:rPr>
          <w:rFonts w:ascii="Garamond" w:hAnsi="Garamond" w:cs="Times New Roman"/>
          <w:sz w:val="24"/>
          <w:szCs w:val="24"/>
        </w:rPr>
        <w:t xml:space="preserve"> students visit the center.  Knowing this, we will continue connecting with campus faculty. </w:t>
      </w:r>
    </w:p>
    <w:p w14:paraId="11FEF6BB" w14:textId="77777777" w:rsidR="00C41D6D" w:rsidRPr="0042125D" w:rsidRDefault="00C41D6D" w:rsidP="00C41D6D">
      <w:pPr>
        <w:pStyle w:val="Normal1"/>
        <w:rPr>
          <w:rFonts w:ascii="Garamond" w:hAnsi="Garamond" w:cs="Times New Roman"/>
          <w:b/>
          <w:sz w:val="24"/>
          <w:szCs w:val="24"/>
        </w:rPr>
      </w:pPr>
      <w:r w:rsidRPr="0042125D">
        <w:rPr>
          <w:rFonts w:ascii="Garamond" w:hAnsi="Garamond" w:cs="Times New Roman"/>
          <w:sz w:val="24"/>
          <w:szCs w:val="24"/>
        </w:rPr>
        <w:lastRenderedPageBreak/>
        <w:t xml:space="preserve">  </w:t>
      </w:r>
    </w:p>
    <w:p w14:paraId="662E53E2" w14:textId="77777777" w:rsidR="00800B83" w:rsidRPr="0093379F" w:rsidRDefault="00800B83" w:rsidP="00800B83">
      <w:pPr>
        <w:rPr>
          <w:rFonts w:ascii="Garamond" w:hAnsi="Garamond"/>
          <w:b/>
          <w:szCs w:val="24"/>
        </w:rPr>
      </w:pPr>
      <w:r w:rsidRPr="0093379F">
        <w:rPr>
          <w:rFonts w:ascii="Garamond" w:hAnsi="Garamond"/>
          <w:b/>
          <w:szCs w:val="24"/>
        </w:rPr>
        <w:t>WC Online Session Report Research</w:t>
      </w:r>
    </w:p>
    <w:p w14:paraId="58BE51FA" w14:textId="77777777" w:rsidR="00800B83" w:rsidRDefault="00800B83" w:rsidP="00800B83">
      <w:pPr>
        <w:rPr>
          <w:rFonts w:ascii="Garamond" w:hAnsi="Garamond"/>
          <w:szCs w:val="24"/>
        </w:rPr>
      </w:pPr>
    </w:p>
    <w:p w14:paraId="1A5504B5" w14:textId="77777777" w:rsidR="00800B83" w:rsidRPr="0093379F" w:rsidRDefault="00800B83" w:rsidP="00800B83">
      <w:pPr>
        <w:rPr>
          <w:rFonts w:ascii="Garamond" w:hAnsi="Garamond"/>
          <w:szCs w:val="24"/>
        </w:rPr>
      </w:pPr>
      <w:r w:rsidRPr="0093379F">
        <w:rPr>
          <w:rFonts w:ascii="Garamond" w:hAnsi="Garamond"/>
          <w:szCs w:val="24"/>
        </w:rPr>
        <w:t>Laura Schubert conducted a pilot research project to assess the language that tutors use to describe their work with English Language Learners (ELL). Laura used methods from discourse analysis to study semantic prosody, or language connotations, which enables researchers to analyze words’ positive, negative, and neutral connotations. This method of discourse analysis allowed her to detect tutors’ connotations of ELL students—as reported in their WC Online session reports—and to see whether they associated ELLs with lower-order writing concerns.</w:t>
      </w:r>
    </w:p>
    <w:p w14:paraId="4AA2540B" w14:textId="77777777" w:rsidR="00800B83" w:rsidRPr="0093379F" w:rsidRDefault="00800B83" w:rsidP="00800B83">
      <w:pPr>
        <w:rPr>
          <w:rFonts w:ascii="Garamond" w:hAnsi="Garamond"/>
          <w:szCs w:val="24"/>
        </w:rPr>
      </w:pPr>
      <w:r w:rsidRPr="0093379F">
        <w:rPr>
          <w:rFonts w:ascii="Garamond" w:hAnsi="Garamond"/>
          <w:noProof/>
          <w:szCs w:val="24"/>
        </w:rPr>
        <w:drawing>
          <wp:anchor distT="0" distB="0" distL="114300" distR="114300" simplePos="0" relativeHeight="251659264" behindDoc="1" locked="0" layoutInCell="1" allowOverlap="1" wp14:anchorId="0C0F476C" wp14:editId="4133BC19">
            <wp:simplePos x="0" y="0"/>
            <wp:positionH relativeFrom="margin">
              <wp:posOffset>3044825</wp:posOffset>
            </wp:positionH>
            <wp:positionV relativeFrom="margin">
              <wp:posOffset>2750820</wp:posOffset>
            </wp:positionV>
            <wp:extent cx="3227705" cy="2766695"/>
            <wp:effectExtent l="0" t="0" r="0"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93379F">
        <w:rPr>
          <w:rFonts w:ascii="Garamond" w:hAnsi="Garamond"/>
          <w:szCs w:val="24"/>
        </w:rPr>
        <w:t xml:space="preserve">Laura found that in 38% of the first 50 occurrences of the term </w:t>
      </w:r>
      <w:r w:rsidRPr="0093379F">
        <w:rPr>
          <w:rFonts w:ascii="Garamond" w:hAnsi="Garamond"/>
          <w:i/>
          <w:szCs w:val="24"/>
        </w:rPr>
        <w:t>ELL</w:t>
      </w:r>
      <w:r w:rsidRPr="0093379F">
        <w:rPr>
          <w:rFonts w:ascii="Garamond" w:hAnsi="Garamond"/>
          <w:szCs w:val="24"/>
        </w:rPr>
        <w:t xml:space="preserve"> in session reports, the term</w:t>
      </w:r>
      <w:r w:rsidRPr="0093379F">
        <w:rPr>
          <w:rFonts w:ascii="Garamond" w:hAnsi="Garamond"/>
          <w:i/>
          <w:szCs w:val="24"/>
        </w:rPr>
        <w:t xml:space="preserve"> </w:t>
      </w:r>
      <w:r w:rsidRPr="0093379F">
        <w:rPr>
          <w:rFonts w:ascii="Garamond" w:hAnsi="Garamond"/>
          <w:szCs w:val="24"/>
        </w:rPr>
        <w:t xml:space="preserve">carried neutral semantic prosody. In 30% of the occurrences, </w:t>
      </w:r>
      <w:r w:rsidRPr="0093379F">
        <w:rPr>
          <w:rFonts w:ascii="Garamond" w:hAnsi="Garamond"/>
          <w:i/>
          <w:szCs w:val="24"/>
        </w:rPr>
        <w:t>ELL</w:t>
      </w:r>
      <w:r w:rsidRPr="0093379F">
        <w:rPr>
          <w:rFonts w:ascii="Garamond" w:hAnsi="Garamond"/>
          <w:szCs w:val="24"/>
        </w:rPr>
        <w:t xml:space="preserve"> carried positive semantic prosody, and in 32% of the occurrences, </w:t>
      </w:r>
      <w:r w:rsidRPr="0093379F">
        <w:rPr>
          <w:rFonts w:ascii="Garamond" w:hAnsi="Garamond"/>
          <w:i/>
          <w:szCs w:val="24"/>
        </w:rPr>
        <w:t xml:space="preserve">ELL </w:t>
      </w:r>
      <w:r w:rsidRPr="0093379F">
        <w:rPr>
          <w:rFonts w:ascii="Garamond" w:hAnsi="Garamond"/>
          <w:szCs w:val="24"/>
        </w:rPr>
        <w:t>carried negative semantic prosody (See pie chart). Most notably, the results show a higher frequency of negative semantic prosody compared to positive semantic prosody. For instance, negative semantic prosody appears in passages like,</w:t>
      </w:r>
    </w:p>
    <w:p w14:paraId="507EFDFD" w14:textId="77777777" w:rsidR="00800B83" w:rsidRPr="0093379F" w:rsidRDefault="00800B83" w:rsidP="00800B83">
      <w:pPr>
        <w:pStyle w:val="ListParagraph"/>
        <w:numPr>
          <w:ilvl w:val="0"/>
          <w:numId w:val="15"/>
        </w:numPr>
        <w:spacing w:line="276" w:lineRule="auto"/>
        <w:rPr>
          <w:rFonts w:ascii="Garamond" w:hAnsi="Garamond"/>
          <w:szCs w:val="24"/>
        </w:rPr>
      </w:pPr>
      <w:r w:rsidRPr="0093379F">
        <w:rPr>
          <w:rFonts w:ascii="Garamond" w:hAnsi="Garamond"/>
          <w:szCs w:val="24"/>
        </w:rPr>
        <w:t xml:space="preserve">“Writing is full of the familiar </w:t>
      </w:r>
      <w:r w:rsidRPr="0093379F">
        <w:rPr>
          <w:rFonts w:ascii="Garamond" w:hAnsi="Garamond"/>
          <w:i/>
          <w:szCs w:val="24"/>
          <w:u w:val="single"/>
        </w:rPr>
        <w:t>ELL</w:t>
      </w:r>
      <w:r w:rsidRPr="0093379F">
        <w:rPr>
          <w:rFonts w:ascii="Garamond" w:hAnsi="Garamond"/>
          <w:szCs w:val="24"/>
        </w:rPr>
        <w:t xml:space="preserve"> concerns, to the point that her intended meaning is sometimes impenetrable.”</w:t>
      </w:r>
    </w:p>
    <w:p w14:paraId="32E2C481" w14:textId="77777777" w:rsidR="00800B83" w:rsidRPr="0093379F" w:rsidRDefault="00800B83" w:rsidP="00800B83">
      <w:pPr>
        <w:pStyle w:val="ListParagraph"/>
        <w:numPr>
          <w:ilvl w:val="0"/>
          <w:numId w:val="15"/>
        </w:numPr>
        <w:spacing w:line="276" w:lineRule="auto"/>
        <w:rPr>
          <w:rFonts w:ascii="Garamond" w:hAnsi="Garamond"/>
          <w:szCs w:val="24"/>
        </w:rPr>
      </w:pPr>
      <w:r w:rsidRPr="0093379F">
        <w:rPr>
          <w:rFonts w:ascii="Garamond" w:hAnsi="Garamond"/>
          <w:szCs w:val="24"/>
        </w:rPr>
        <w:t xml:space="preserve">“As an </w:t>
      </w:r>
      <w:r w:rsidRPr="0093379F">
        <w:rPr>
          <w:rFonts w:ascii="Garamond" w:hAnsi="Garamond"/>
          <w:i/>
          <w:szCs w:val="24"/>
          <w:u w:val="single"/>
        </w:rPr>
        <w:t>ELL</w:t>
      </w:r>
      <w:r w:rsidRPr="0093379F">
        <w:rPr>
          <w:rFonts w:ascii="Garamond" w:hAnsi="Garamond"/>
          <w:szCs w:val="24"/>
        </w:rPr>
        <w:t xml:space="preserve"> student, [the tutee] had trouble understanding how to make her writing less mechanical. In this particular assignment, the introduction was very blunt and cold.”</w:t>
      </w:r>
    </w:p>
    <w:p w14:paraId="40994A6D" w14:textId="77777777" w:rsidR="00800B83" w:rsidRPr="0093379F" w:rsidRDefault="00800B83" w:rsidP="00800B83">
      <w:pPr>
        <w:rPr>
          <w:rFonts w:ascii="Garamond" w:hAnsi="Garamond"/>
          <w:szCs w:val="24"/>
        </w:rPr>
      </w:pPr>
    </w:p>
    <w:p w14:paraId="53C90EF7" w14:textId="77777777" w:rsidR="00800B83" w:rsidRPr="0093379F" w:rsidRDefault="00800B83" w:rsidP="00800B83">
      <w:pPr>
        <w:rPr>
          <w:rFonts w:ascii="Garamond" w:hAnsi="Garamond"/>
          <w:szCs w:val="24"/>
        </w:rPr>
      </w:pPr>
      <w:r w:rsidRPr="0093379F">
        <w:rPr>
          <w:rFonts w:ascii="Garamond" w:hAnsi="Garamond"/>
          <w:szCs w:val="24"/>
        </w:rPr>
        <w:t xml:space="preserve">Additionally, tutors referenced the word </w:t>
      </w:r>
      <w:r w:rsidRPr="0093379F">
        <w:rPr>
          <w:rFonts w:ascii="Garamond" w:hAnsi="Garamond"/>
          <w:i/>
          <w:szCs w:val="24"/>
        </w:rPr>
        <w:t>grammar</w:t>
      </w:r>
      <w:r w:rsidRPr="0093379F">
        <w:rPr>
          <w:rFonts w:ascii="Garamond" w:hAnsi="Garamond"/>
          <w:szCs w:val="24"/>
        </w:rPr>
        <w:t xml:space="preserve"> (or a grammatical term) near </w:t>
      </w:r>
      <w:r w:rsidRPr="0093379F">
        <w:rPr>
          <w:rFonts w:ascii="Garamond" w:hAnsi="Garamond"/>
          <w:i/>
          <w:szCs w:val="24"/>
        </w:rPr>
        <w:t>ELL</w:t>
      </w:r>
      <w:r w:rsidRPr="0093379F">
        <w:rPr>
          <w:rFonts w:ascii="Garamond" w:hAnsi="Garamond"/>
          <w:szCs w:val="24"/>
        </w:rPr>
        <w:t xml:space="preserve"> 36 times. That is, </w:t>
      </w:r>
      <w:r w:rsidRPr="0093379F">
        <w:rPr>
          <w:rFonts w:ascii="Garamond" w:hAnsi="Garamond"/>
          <w:i/>
          <w:szCs w:val="24"/>
        </w:rPr>
        <w:t xml:space="preserve">grammar </w:t>
      </w:r>
      <w:r w:rsidRPr="0093379F">
        <w:rPr>
          <w:rFonts w:ascii="Garamond" w:hAnsi="Garamond"/>
          <w:szCs w:val="24"/>
        </w:rPr>
        <w:t>was a collocate of</w:t>
      </w:r>
      <w:r w:rsidRPr="0093379F">
        <w:rPr>
          <w:rFonts w:ascii="Garamond" w:hAnsi="Garamond"/>
          <w:i/>
          <w:szCs w:val="24"/>
        </w:rPr>
        <w:t xml:space="preserve"> ELL </w:t>
      </w:r>
      <w:r w:rsidRPr="0093379F">
        <w:rPr>
          <w:rFonts w:ascii="Garamond" w:hAnsi="Garamond"/>
          <w:szCs w:val="24"/>
        </w:rPr>
        <w:t>72% of the time, suggesting that tutors may associate ELLs with grammatical assistance. However, we are cautious in interpreting these preliminary results because negative semantic prosody does not necessarily imply tutors’ negative associations with ELLs, as scholars like Al-Sofi et al. (2014) have demonstrated.</w:t>
      </w:r>
    </w:p>
    <w:p w14:paraId="634FEBA0" w14:textId="77777777" w:rsidR="00800B83" w:rsidRPr="0093379F" w:rsidRDefault="00800B83" w:rsidP="00800B83">
      <w:pPr>
        <w:rPr>
          <w:rFonts w:ascii="Garamond" w:hAnsi="Garamond"/>
          <w:szCs w:val="24"/>
        </w:rPr>
      </w:pPr>
      <w:r w:rsidRPr="0093379F">
        <w:rPr>
          <w:rFonts w:ascii="Garamond" w:hAnsi="Garamond"/>
          <w:szCs w:val="24"/>
        </w:rPr>
        <w:t>These findings inspired us to include more tutoring training surrounding diversity, particularly to invite Art Dean to guest speak in two tutor development meetings. This pilot study also suggests that these research methods are useful for studying tutors’ language use and perceptions. We plan to conduct a more formal study with IRB approval in the future.</w:t>
      </w:r>
    </w:p>
    <w:p w14:paraId="3121A54B" w14:textId="77777777" w:rsidR="00D71F8C" w:rsidRPr="0042125D" w:rsidRDefault="00D71F8C" w:rsidP="00D71F8C">
      <w:pPr>
        <w:pStyle w:val="Normal1"/>
        <w:rPr>
          <w:rFonts w:ascii="Garamond" w:hAnsi="Garamond" w:cs="Times New Roman"/>
          <w:color w:val="auto"/>
          <w:sz w:val="24"/>
          <w:szCs w:val="24"/>
        </w:rPr>
      </w:pPr>
    </w:p>
    <w:p w14:paraId="2C251A01" w14:textId="77777777" w:rsidR="00800B83" w:rsidRDefault="00800B83" w:rsidP="00D71F8C">
      <w:pPr>
        <w:pStyle w:val="Normal1"/>
        <w:rPr>
          <w:rFonts w:ascii="Garamond" w:hAnsi="Garamond" w:cs="Times New Roman"/>
          <w:b/>
          <w:color w:val="auto"/>
          <w:sz w:val="24"/>
          <w:szCs w:val="24"/>
        </w:rPr>
      </w:pPr>
    </w:p>
    <w:p w14:paraId="72CEE996" w14:textId="77777777" w:rsidR="00D71F8C" w:rsidRPr="0042125D" w:rsidRDefault="00D71F8C" w:rsidP="00D71F8C">
      <w:pPr>
        <w:pStyle w:val="Normal1"/>
        <w:rPr>
          <w:rFonts w:ascii="Garamond" w:hAnsi="Garamond" w:cs="Times New Roman"/>
          <w:b/>
          <w:color w:val="auto"/>
          <w:sz w:val="24"/>
          <w:szCs w:val="24"/>
        </w:rPr>
      </w:pPr>
      <w:r w:rsidRPr="0042125D">
        <w:rPr>
          <w:rFonts w:ascii="Garamond" w:hAnsi="Garamond" w:cs="Times New Roman"/>
          <w:b/>
          <w:color w:val="auto"/>
          <w:sz w:val="24"/>
          <w:szCs w:val="24"/>
        </w:rPr>
        <w:t>Conclusions</w:t>
      </w:r>
    </w:p>
    <w:p w14:paraId="06E41A4E" w14:textId="77777777" w:rsidR="00D71F8C" w:rsidRPr="0042125D" w:rsidRDefault="00D71F8C" w:rsidP="00D71F8C">
      <w:pPr>
        <w:pStyle w:val="Normal1"/>
        <w:rPr>
          <w:rFonts w:ascii="Garamond" w:hAnsi="Garamond" w:cs="Times New Roman"/>
          <w:b/>
          <w:color w:val="auto"/>
          <w:sz w:val="24"/>
          <w:szCs w:val="24"/>
        </w:rPr>
      </w:pPr>
    </w:p>
    <w:p w14:paraId="77D1CAB8" w14:textId="77777777" w:rsidR="00D71F8C" w:rsidRPr="0042125D" w:rsidRDefault="00D71F8C" w:rsidP="00D71F8C">
      <w:pPr>
        <w:pStyle w:val="Normal1"/>
        <w:ind w:left="720"/>
        <w:rPr>
          <w:rFonts w:ascii="Garamond" w:hAnsi="Garamond" w:cs="Times New Roman"/>
          <w:color w:val="auto"/>
          <w:sz w:val="24"/>
          <w:szCs w:val="24"/>
        </w:rPr>
      </w:pPr>
      <w:r w:rsidRPr="0042125D">
        <w:rPr>
          <w:rFonts w:ascii="Garamond" w:hAnsi="Garamond" w:cs="Times New Roman"/>
          <w:color w:val="auto"/>
          <w:sz w:val="24"/>
          <w:szCs w:val="24"/>
        </w:rPr>
        <w:t xml:space="preserve">The writing center continues to be committed to </w:t>
      </w:r>
      <w:r w:rsidR="00106BDC" w:rsidRPr="0042125D">
        <w:rPr>
          <w:rFonts w:ascii="Garamond" w:hAnsi="Garamond" w:cs="Times New Roman"/>
          <w:color w:val="auto"/>
          <w:sz w:val="24"/>
          <w:szCs w:val="24"/>
        </w:rPr>
        <w:t xml:space="preserve">high </w:t>
      </w:r>
      <w:r w:rsidRPr="0042125D">
        <w:rPr>
          <w:rFonts w:ascii="Garamond" w:hAnsi="Garamond" w:cs="Times New Roman"/>
          <w:color w:val="auto"/>
          <w:sz w:val="24"/>
          <w:szCs w:val="24"/>
        </w:rPr>
        <w:t>quality</w:t>
      </w:r>
      <w:r w:rsidR="00106BDC" w:rsidRPr="0042125D">
        <w:rPr>
          <w:rFonts w:ascii="Garamond" w:hAnsi="Garamond" w:cs="Times New Roman"/>
          <w:color w:val="auto"/>
          <w:sz w:val="24"/>
          <w:szCs w:val="24"/>
        </w:rPr>
        <w:t xml:space="preserve"> services</w:t>
      </w:r>
      <w:r w:rsidRPr="0042125D">
        <w:rPr>
          <w:rFonts w:ascii="Garamond" w:hAnsi="Garamond" w:cs="Times New Roman"/>
          <w:color w:val="auto"/>
          <w:sz w:val="24"/>
          <w:szCs w:val="24"/>
        </w:rPr>
        <w:t xml:space="preserve">, </w:t>
      </w:r>
      <w:r w:rsidR="006D2148" w:rsidRPr="0042125D">
        <w:rPr>
          <w:rFonts w:ascii="Garamond" w:hAnsi="Garamond" w:cs="Times New Roman"/>
          <w:color w:val="auto"/>
          <w:sz w:val="24"/>
          <w:szCs w:val="24"/>
        </w:rPr>
        <w:t xml:space="preserve">strategic </w:t>
      </w:r>
      <w:r w:rsidRPr="0042125D">
        <w:rPr>
          <w:rFonts w:ascii="Garamond" w:hAnsi="Garamond" w:cs="Times New Roman"/>
          <w:color w:val="auto"/>
          <w:sz w:val="24"/>
          <w:szCs w:val="24"/>
        </w:rPr>
        <w:t>growth, and original research. We look forward to continuing our role in facilitating Writing-Across-Campus initiatives, and are particularly excited to see how our new location at the Student Success Cent</w:t>
      </w:r>
      <w:r w:rsidR="006D2148" w:rsidRPr="0042125D">
        <w:rPr>
          <w:rFonts w:ascii="Garamond" w:hAnsi="Garamond" w:cs="Times New Roman"/>
          <w:color w:val="auto"/>
          <w:sz w:val="24"/>
          <w:szCs w:val="24"/>
        </w:rPr>
        <w:t>er will increase our visibility</w:t>
      </w:r>
      <w:r w:rsidRPr="0042125D">
        <w:rPr>
          <w:rFonts w:ascii="Garamond" w:hAnsi="Garamond" w:cs="Times New Roman"/>
          <w:color w:val="auto"/>
          <w:sz w:val="24"/>
          <w:szCs w:val="24"/>
        </w:rPr>
        <w:t xml:space="preserve"> and subsequently our impact at James Madison University. </w:t>
      </w:r>
    </w:p>
    <w:p w14:paraId="465AF160" w14:textId="77777777" w:rsidR="00A51820" w:rsidRPr="0042125D" w:rsidRDefault="00A51820" w:rsidP="001304CC">
      <w:pPr>
        <w:pStyle w:val="BodyTextIndent"/>
        <w:ind w:left="0"/>
        <w:rPr>
          <w:rFonts w:ascii="Garamond" w:hAnsi="Garamond"/>
          <w:color w:val="auto"/>
        </w:rPr>
      </w:pPr>
    </w:p>
    <w:p w14:paraId="29EAC585" w14:textId="77777777" w:rsidR="00106BDC" w:rsidRPr="0042125D" w:rsidRDefault="00106BDC" w:rsidP="001304CC">
      <w:pPr>
        <w:pStyle w:val="BodyTextIndent"/>
        <w:ind w:left="0"/>
        <w:rPr>
          <w:rFonts w:ascii="Garamond" w:hAnsi="Garamond"/>
          <w:color w:val="auto"/>
        </w:rPr>
      </w:pPr>
    </w:p>
    <w:p w14:paraId="2EA84A65" w14:textId="77777777" w:rsidR="00106BDC" w:rsidRPr="0042125D" w:rsidRDefault="00106BDC" w:rsidP="001304CC">
      <w:pPr>
        <w:pStyle w:val="BodyTextIndent"/>
        <w:ind w:left="0"/>
        <w:rPr>
          <w:rFonts w:ascii="Garamond" w:hAnsi="Garamond"/>
          <w:color w:val="auto"/>
        </w:rPr>
      </w:pPr>
    </w:p>
    <w:p w14:paraId="093ADEAF" w14:textId="77777777" w:rsidR="00106BDC" w:rsidRPr="0042125D" w:rsidRDefault="00106BDC" w:rsidP="001304CC">
      <w:pPr>
        <w:pStyle w:val="BodyTextIndent"/>
        <w:ind w:left="0"/>
        <w:rPr>
          <w:rFonts w:ascii="Garamond" w:hAnsi="Garamond"/>
          <w:color w:val="auto"/>
        </w:rPr>
      </w:pPr>
    </w:p>
    <w:p w14:paraId="327D98D2" w14:textId="77777777" w:rsidR="00106BDC" w:rsidRPr="0042125D" w:rsidRDefault="00106BDC" w:rsidP="001304CC">
      <w:pPr>
        <w:pStyle w:val="BodyTextIndent"/>
        <w:ind w:left="0"/>
        <w:rPr>
          <w:rFonts w:ascii="Garamond" w:hAnsi="Garamond"/>
          <w:color w:val="auto"/>
        </w:rPr>
      </w:pPr>
    </w:p>
    <w:p w14:paraId="175C8170" w14:textId="77777777" w:rsidR="002B742F" w:rsidRPr="0042125D" w:rsidRDefault="00EB639C" w:rsidP="0042125D">
      <w:pPr>
        <w:pStyle w:val="Header2"/>
        <w:rPr>
          <w:rFonts w:ascii="Garamond" w:hAnsi="Garamond"/>
        </w:rPr>
      </w:pPr>
      <w:r w:rsidRPr="0042125D">
        <w:rPr>
          <w:rFonts w:ascii="Garamond" w:hAnsi="Garamond"/>
        </w:rPr>
        <w:t>Approval</w:t>
      </w:r>
    </w:p>
    <w:p w14:paraId="52DE74A9" w14:textId="77777777" w:rsidR="002B742F" w:rsidRPr="0042125D" w:rsidRDefault="002B742F" w:rsidP="002B742F">
      <w:pPr>
        <w:pStyle w:val="BodyTextIndent"/>
        <w:rPr>
          <w:rFonts w:ascii="Garamond" w:hAnsi="Garamond" w:cs="Arial"/>
          <w:color w:val="auto"/>
        </w:rPr>
      </w:pPr>
    </w:p>
    <w:tbl>
      <w:tblPr>
        <w:tblStyle w:val="TableGrid"/>
        <w:tblW w:w="9475"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43" w:type="dxa"/>
          <w:left w:w="115" w:type="dxa"/>
          <w:bottom w:w="14" w:type="dxa"/>
          <w:right w:w="115" w:type="dxa"/>
        </w:tblCellMar>
        <w:tblLook w:val="01E0" w:firstRow="1" w:lastRow="1" w:firstColumn="1" w:lastColumn="1" w:noHBand="0" w:noVBand="0"/>
      </w:tblPr>
      <w:tblGrid>
        <w:gridCol w:w="1800"/>
        <w:gridCol w:w="4500"/>
        <w:gridCol w:w="900"/>
        <w:gridCol w:w="455"/>
        <w:gridCol w:w="455"/>
        <w:gridCol w:w="455"/>
        <w:gridCol w:w="455"/>
        <w:gridCol w:w="455"/>
      </w:tblGrid>
      <w:tr w:rsidR="0027591C" w:rsidRPr="0042125D" w14:paraId="56B59D75" w14:textId="77777777">
        <w:trPr>
          <w:cantSplit/>
          <w:trHeight w:val="475"/>
        </w:trPr>
        <w:tc>
          <w:tcPr>
            <w:tcW w:w="1800" w:type="dxa"/>
            <w:tcBorders>
              <w:top w:val="nil"/>
              <w:left w:val="nil"/>
              <w:bottom w:val="nil"/>
              <w:right w:val="nil"/>
            </w:tcBorders>
            <w:vAlign w:val="center"/>
          </w:tcPr>
          <w:p w14:paraId="3B2E6278" w14:textId="77777777" w:rsidR="0027591C" w:rsidRPr="0042125D" w:rsidRDefault="004731C5" w:rsidP="004731C5">
            <w:pPr>
              <w:rPr>
                <w:rFonts w:ascii="Garamond" w:hAnsi="Garamond"/>
                <w:b/>
                <w:sz w:val="22"/>
                <w:szCs w:val="22"/>
              </w:rPr>
            </w:pPr>
            <w:r w:rsidRPr="0042125D">
              <w:rPr>
                <w:rFonts w:ascii="Garamond" w:hAnsi="Garamond"/>
                <w:b/>
                <w:sz w:val="22"/>
                <w:szCs w:val="22"/>
              </w:rPr>
              <w:t>Learning Centers Director</w:t>
            </w:r>
            <w:r w:rsidR="001F13F1" w:rsidRPr="0042125D">
              <w:rPr>
                <w:rFonts w:ascii="Garamond" w:hAnsi="Garamond"/>
                <w:b/>
                <w:sz w:val="22"/>
                <w:szCs w:val="22"/>
              </w:rPr>
              <w:t>:</w:t>
            </w:r>
          </w:p>
        </w:tc>
        <w:tc>
          <w:tcPr>
            <w:tcW w:w="4500" w:type="dxa"/>
            <w:tcBorders>
              <w:top w:val="nil"/>
              <w:left w:val="nil"/>
              <w:bottom w:val="single" w:sz="4" w:space="0" w:color="000000"/>
              <w:right w:val="nil"/>
            </w:tcBorders>
            <w:vAlign w:val="center"/>
          </w:tcPr>
          <w:p w14:paraId="7D845EB8" w14:textId="77777777" w:rsidR="0027591C" w:rsidRPr="0042125D" w:rsidRDefault="0027591C" w:rsidP="00C31C49">
            <w:pPr>
              <w:rPr>
                <w:rFonts w:ascii="Garamond" w:hAnsi="Garamond"/>
              </w:rPr>
            </w:pPr>
          </w:p>
        </w:tc>
        <w:tc>
          <w:tcPr>
            <w:tcW w:w="900" w:type="dxa"/>
            <w:tcBorders>
              <w:top w:val="nil"/>
              <w:left w:val="nil"/>
              <w:bottom w:val="nil"/>
              <w:right w:val="nil"/>
            </w:tcBorders>
            <w:vAlign w:val="center"/>
          </w:tcPr>
          <w:p w14:paraId="5A32C3D6" w14:textId="77777777" w:rsidR="0027591C" w:rsidRPr="0042125D" w:rsidRDefault="0027591C" w:rsidP="00C31C49">
            <w:pPr>
              <w:rPr>
                <w:rFonts w:ascii="Garamond" w:hAnsi="Garamond" w:cs="Arial"/>
                <w:sz w:val="22"/>
                <w:szCs w:val="22"/>
              </w:rPr>
            </w:pPr>
            <w:r w:rsidRPr="0042125D">
              <w:rPr>
                <w:rFonts w:ascii="Garamond" w:hAnsi="Garamond" w:cs="Arial"/>
                <w:b/>
                <w:sz w:val="22"/>
                <w:szCs w:val="22"/>
              </w:rPr>
              <w:t>Date:</w:t>
            </w:r>
          </w:p>
        </w:tc>
        <w:tc>
          <w:tcPr>
            <w:tcW w:w="455" w:type="dxa"/>
            <w:tcBorders>
              <w:top w:val="nil"/>
              <w:left w:val="nil"/>
              <w:bottom w:val="single" w:sz="4" w:space="0" w:color="000000"/>
              <w:right w:val="nil"/>
            </w:tcBorders>
            <w:vAlign w:val="center"/>
          </w:tcPr>
          <w:p w14:paraId="688FC07B" w14:textId="77777777" w:rsidR="0027591C" w:rsidRPr="0042125D" w:rsidRDefault="0027591C" w:rsidP="00C31C49">
            <w:pPr>
              <w:rPr>
                <w:rFonts w:ascii="Garamond" w:hAnsi="Garamond"/>
              </w:rPr>
            </w:pPr>
          </w:p>
        </w:tc>
        <w:tc>
          <w:tcPr>
            <w:tcW w:w="455" w:type="dxa"/>
            <w:tcBorders>
              <w:top w:val="nil"/>
              <w:left w:val="nil"/>
              <w:bottom w:val="single" w:sz="4" w:space="0" w:color="000000"/>
              <w:right w:val="nil"/>
            </w:tcBorders>
            <w:vAlign w:val="center"/>
          </w:tcPr>
          <w:p w14:paraId="6DD8236B" w14:textId="77777777" w:rsidR="0027591C" w:rsidRPr="0042125D" w:rsidRDefault="0027591C" w:rsidP="00C31C49">
            <w:pPr>
              <w:rPr>
                <w:rFonts w:ascii="Garamond" w:hAnsi="Garamond"/>
              </w:rPr>
            </w:pPr>
            <w:r w:rsidRPr="0042125D">
              <w:rPr>
                <w:rFonts w:ascii="Garamond" w:hAnsi="Garamond"/>
              </w:rPr>
              <w:t>/</w:t>
            </w:r>
          </w:p>
        </w:tc>
        <w:tc>
          <w:tcPr>
            <w:tcW w:w="455" w:type="dxa"/>
            <w:tcBorders>
              <w:top w:val="nil"/>
              <w:left w:val="nil"/>
              <w:bottom w:val="single" w:sz="4" w:space="0" w:color="000000"/>
              <w:right w:val="nil"/>
            </w:tcBorders>
            <w:vAlign w:val="center"/>
          </w:tcPr>
          <w:p w14:paraId="17D3BFED" w14:textId="77777777" w:rsidR="0027591C" w:rsidRPr="0042125D" w:rsidRDefault="0027591C" w:rsidP="00C31C49">
            <w:pPr>
              <w:rPr>
                <w:rFonts w:ascii="Garamond" w:hAnsi="Garamond"/>
              </w:rPr>
            </w:pPr>
          </w:p>
        </w:tc>
        <w:tc>
          <w:tcPr>
            <w:tcW w:w="455" w:type="dxa"/>
            <w:tcBorders>
              <w:top w:val="nil"/>
              <w:left w:val="nil"/>
              <w:bottom w:val="single" w:sz="4" w:space="0" w:color="000000"/>
              <w:right w:val="nil"/>
            </w:tcBorders>
            <w:vAlign w:val="center"/>
          </w:tcPr>
          <w:p w14:paraId="3176AAE9" w14:textId="77777777" w:rsidR="0027591C" w:rsidRPr="0042125D" w:rsidRDefault="0027591C" w:rsidP="00C31C49">
            <w:pPr>
              <w:rPr>
                <w:rFonts w:ascii="Garamond" w:hAnsi="Garamond"/>
              </w:rPr>
            </w:pPr>
            <w:r w:rsidRPr="0042125D">
              <w:rPr>
                <w:rFonts w:ascii="Garamond" w:hAnsi="Garamond"/>
              </w:rPr>
              <w:t>/</w:t>
            </w:r>
          </w:p>
        </w:tc>
        <w:tc>
          <w:tcPr>
            <w:tcW w:w="455" w:type="dxa"/>
            <w:tcBorders>
              <w:top w:val="nil"/>
              <w:left w:val="nil"/>
              <w:bottom w:val="single" w:sz="4" w:space="0" w:color="000000"/>
              <w:right w:val="nil"/>
            </w:tcBorders>
            <w:vAlign w:val="center"/>
          </w:tcPr>
          <w:p w14:paraId="30876EE2" w14:textId="77777777" w:rsidR="0027591C" w:rsidRPr="0042125D" w:rsidRDefault="0027591C" w:rsidP="00C31C49">
            <w:pPr>
              <w:rPr>
                <w:rFonts w:ascii="Garamond" w:hAnsi="Garamond"/>
              </w:rPr>
            </w:pPr>
          </w:p>
        </w:tc>
      </w:tr>
      <w:tr w:rsidR="0027591C" w:rsidRPr="0042125D" w14:paraId="2A52A2C3" w14:textId="77777777">
        <w:trPr>
          <w:cantSplit/>
          <w:trHeight w:val="469"/>
        </w:trPr>
        <w:tc>
          <w:tcPr>
            <w:tcW w:w="1800" w:type="dxa"/>
            <w:tcBorders>
              <w:top w:val="nil"/>
              <w:left w:val="nil"/>
              <w:bottom w:val="nil"/>
              <w:right w:val="nil"/>
            </w:tcBorders>
            <w:vAlign w:val="center"/>
          </w:tcPr>
          <w:p w14:paraId="106664AD" w14:textId="77777777" w:rsidR="0027591C" w:rsidRPr="0042125D" w:rsidRDefault="004731C5" w:rsidP="00C31C49">
            <w:pPr>
              <w:rPr>
                <w:rFonts w:ascii="Garamond" w:hAnsi="Garamond" w:cs="Arial"/>
                <w:b/>
                <w:sz w:val="22"/>
                <w:szCs w:val="22"/>
              </w:rPr>
            </w:pPr>
            <w:r w:rsidRPr="0042125D">
              <w:rPr>
                <w:rFonts w:ascii="Garamond" w:hAnsi="Garamond" w:cs="Arial"/>
                <w:b/>
                <w:sz w:val="22"/>
                <w:szCs w:val="22"/>
              </w:rPr>
              <w:t>UWC Coordinator</w:t>
            </w:r>
            <w:r w:rsidR="001F13F1" w:rsidRPr="0042125D">
              <w:rPr>
                <w:rFonts w:ascii="Garamond" w:hAnsi="Garamond" w:cs="Arial"/>
                <w:b/>
                <w:sz w:val="22"/>
                <w:szCs w:val="22"/>
              </w:rPr>
              <w:t>:</w:t>
            </w:r>
          </w:p>
        </w:tc>
        <w:tc>
          <w:tcPr>
            <w:tcW w:w="4500" w:type="dxa"/>
            <w:tcBorders>
              <w:top w:val="single" w:sz="4" w:space="0" w:color="000000"/>
              <w:left w:val="nil"/>
              <w:bottom w:val="single" w:sz="4" w:space="0" w:color="000000"/>
              <w:right w:val="nil"/>
            </w:tcBorders>
            <w:vAlign w:val="center"/>
          </w:tcPr>
          <w:p w14:paraId="43310C27" w14:textId="77777777" w:rsidR="0027591C" w:rsidRPr="0042125D" w:rsidRDefault="0027591C" w:rsidP="00C31C49">
            <w:pPr>
              <w:rPr>
                <w:rFonts w:ascii="Garamond" w:hAnsi="Garamond"/>
              </w:rPr>
            </w:pPr>
          </w:p>
        </w:tc>
        <w:tc>
          <w:tcPr>
            <w:tcW w:w="900" w:type="dxa"/>
            <w:tcBorders>
              <w:top w:val="nil"/>
              <w:left w:val="nil"/>
              <w:bottom w:val="nil"/>
              <w:right w:val="nil"/>
            </w:tcBorders>
            <w:vAlign w:val="center"/>
          </w:tcPr>
          <w:p w14:paraId="4BABFCB3" w14:textId="77777777" w:rsidR="0027591C" w:rsidRPr="0042125D" w:rsidRDefault="0027591C" w:rsidP="00C31C49">
            <w:pPr>
              <w:rPr>
                <w:rFonts w:ascii="Garamond" w:hAnsi="Garamond" w:cs="Arial"/>
                <w:sz w:val="22"/>
                <w:szCs w:val="22"/>
              </w:rPr>
            </w:pPr>
            <w:r w:rsidRPr="0042125D">
              <w:rPr>
                <w:rFonts w:ascii="Garamond" w:hAnsi="Garamond" w:cs="Arial"/>
                <w:b/>
                <w:sz w:val="22"/>
                <w:szCs w:val="22"/>
              </w:rPr>
              <w:t>Date:</w:t>
            </w:r>
          </w:p>
        </w:tc>
        <w:tc>
          <w:tcPr>
            <w:tcW w:w="455" w:type="dxa"/>
            <w:tcBorders>
              <w:top w:val="single" w:sz="4" w:space="0" w:color="000000"/>
              <w:left w:val="nil"/>
              <w:bottom w:val="single" w:sz="4" w:space="0" w:color="000000"/>
              <w:right w:val="nil"/>
            </w:tcBorders>
            <w:vAlign w:val="center"/>
          </w:tcPr>
          <w:p w14:paraId="200A3246" w14:textId="77777777" w:rsidR="0027591C" w:rsidRPr="0042125D" w:rsidRDefault="0027591C" w:rsidP="00C31C49">
            <w:pPr>
              <w:rPr>
                <w:rFonts w:ascii="Garamond" w:hAnsi="Garamond"/>
              </w:rPr>
            </w:pPr>
          </w:p>
        </w:tc>
        <w:tc>
          <w:tcPr>
            <w:tcW w:w="455" w:type="dxa"/>
            <w:tcBorders>
              <w:top w:val="single" w:sz="4" w:space="0" w:color="000000"/>
              <w:left w:val="nil"/>
              <w:bottom w:val="single" w:sz="4" w:space="0" w:color="000000"/>
              <w:right w:val="nil"/>
            </w:tcBorders>
            <w:vAlign w:val="center"/>
          </w:tcPr>
          <w:p w14:paraId="423779B3" w14:textId="77777777" w:rsidR="0027591C" w:rsidRPr="0042125D" w:rsidRDefault="0027591C" w:rsidP="00C31C49">
            <w:pPr>
              <w:rPr>
                <w:rFonts w:ascii="Garamond" w:hAnsi="Garamond"/>
              </w:rPr>
            </w:pPr>
            <w:r w:rsidRPr="0042125D">
              <w:rPr>
                <w:rFonts w:ascii="Garamond" w:hAnsi="Garamond"/>
              </w:rPr>
              <w:t>/</w:t>
            </w:r>
          </w:p>
        </w:tc>
        <w:tc>
          <w:tcPr>
            <w:tcW w:w="455" w:type="dxa"/>
            <w:tcBorders>
              <w:top w:val="single" w:sz="4" w:space="0" w:color="000000"/>
              <w:left w:val="nil"/>
              <w:bottom w:val="single" w:sz="4" w:space="0" w:color="000000"/>
              <w:right w:val="nil"/>
            </w:tcBorders>
            <w:vAlign w:val="center"/>
          </w:tcPr>
          <w:p w14:paraId="6544B2CC" w14:textId="77777777" w:rsidR="0027591C" w:rsidRPr="0042125D" w:rsidRDefault="0027591C" w:rsidP="00C31C49">
            <w:pPr>
              <w:rPr>
                <w:rFonts w:ascii="Garamond" w:hAnsi="Garamond"/>
              </w:rPr>
            </w:pPr>
          </w:p>
        </w:tc>
        <w:tc>
          <w:tcPr>
            <w:tcW w:w="455" w:type="dxa"/>
            <w:tcBorders>
              <w:top w:val="single" w:sz="4" w:space="0" w:color="000000"/>
              <w:left w:val="nil"/>
              <w:bottom w:val="single" w:sz="4" w:space="0" w:color="000000"/>
              <w:right w:val="nil"/>
            </w:tcBorders>
            <w:vAlign w:val="center"/>
          </w:tcPr>
          <w:p w14:paraId="178C3618" w14:textId="77777777" w:rsidR="0027591C" w:rsidRPr="0042125D" w:rsidRDefault="0027591C" w:rsidP="00C31C49">
            <w:pPr>
              <w:rPr>
                <w:rFonts w:ascii="Garamond" w:hAnsi="Garamond"/>
              </w:rPr>
            </w:pPr>
            <w:r w:rsidRPr="0042125D">
              <w:rPr>
                <w:rFonts w:ascii="Garamond" w:hAnsi="Garamond"/>
              </w:rPr>
              <w:t>/</w:t>
            </w:r>
          </w:p>
        </w:tc>
        <w:tc>
          <w:tcPr>
            <w:tcW w:w="455" w:type="dxa"/>
            <w:tcBorders>
              <w:top w:val="single" w:sz="4" w:space="0" w:color="000000"/>
              <w:left w:val="nil"/>
              <w:bottom w:val="single" w:sz="4" w:space="0" w:color="000000"/>
              <w:right w:val="nil"/>
            </w:tcBorders>
            <w:vAlign w:val="center"/>
          </w:tcPr>
          <w:p w14:paraId="79040577" w14:textId="77777777" w:rsidR="0027591C" w:rsidRPr="0042125D" w:rsidRDefault="0027591C" w:rsidP="00C31C49">
            <w:pPr>
              <w:rPr>
                <w:rFonts w:ascii="Garamond" w:hAnsi="Garamond"/>
              </w:rPr>
            </w:pPr>
          </w:p>
        </w:tc>
      </w:tr>
    </w:tbl>
    <w:p w14:paraId="3F3AE87C" w14:textId="77777777" w:rsidR="00EB639C" w:rsidRPr="0042125D" w:rsidRDefault="00EB639C" w:rsidP="00353A17">
      <w:pPr>
        <w:pStyle w:val="DocTitle-Right"/>
        <w:jc w:val="left"/>
        <w:rPr>
          <w:rFonts w:ascii="Garamond" w:hAnsi="Garamond" w:cs="Arial"/>
        </w:rPr>
      </w:pPr>
    </w:p>
    <w:sectPr w:rsidR="00EB639C" w:rsidRPr="0042125D" w:rsidSect="007C5361">
      <w:footerReference w:type="default" r:id="rId12"/>
      <w:headerReference w:type="first" r:id="rId13"/>
      <w:pgSz w:w="12240" w:h="15840" w:code="1"/>
      <w:pgMar w:top="1440" w:right="1440" w:bottom="1440" w:left="1440" w:header="720" w:footer="1022" w:gutter="0"/>
      <w:pgBorders w:offsetFrom="page">
        <w:top w:val="single" w:sz="4" w:space="24" w:color="auto"/>
        <w:left w:val="single" w:sz="4" w:space="24" w:color="auto"/>
        <w:bottom w:val="single" w:sz="4" w:space="24" w:color="auto"/>
        <w:right w:val="single" w:sz="4" w:space="24"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DE1B4" w14:textId="77777777" w:rsidR="00FA1FB5" w:rsidRDefault="00FA1FB5">
      <w:r>
        <w:separator/>
      </w:r>
    </w:p>
  </w:endnote>
  <w:endnote w:type="continuationSeparator" w:id="0">
    <w:p w14:paraId="69D776A1" w14:textId="77777777" w:rsidR="00FA1FB5" w:rsidRDefault="00FA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B6687" w14:textId="77777777" w:rsidR="00C37D4E" w:rsidRDefault="00C37D4E" w:rsidP="00E832E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CA92B5A" w14:textId="77777777" w:rsidR="00C37D4E" w:rsidRDefault="00C37D4E" w:rsidP="00E832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487F7" w14:textId="77777777" w:rsidR="00C37D4E" w:rsidRDefault="00C37D4E" w:rsidP="00E832EC">
    <w:pPr>
      <w:pStyle w:val="Footer"/>
    </w:pPr>
    <w:r>
      <w:fldChar w:fldCharType="begin"/>
    </w:r>
    <w:r>
      <w:instrText xml:space="preserve"> DATE \@ "M/d/yyyy" </w:instrText>
    </w:r>
    <w:r>
      <w:fldChar w:fldCharType="separate"/>
    </w:r>
    <w:r w:rsidR="00C91903">
      <w:rPr>
        <w:noProof/>
      </w:rPr>
      <w:t>4/11/2017</w:t>
    </w:r>
    <w:r>
      <w:fldChar w:fldCharType="end"/>
    </w:r>
    <w:r>
      <w:tab/>
      <w:t>UWC Annual Report 2013-2014</w:t>
    </w:r>
    <w:r>
      <w:tab/>
      <w:t xml:space="preserve">page </w:t>
    </w:r>
    <w:r>
      <w:rPr>
        <w:rStyle w:val="PageNumber"/>
      </w:rPr>
      <w:fldChar w:fldCharType="begin"/>
    </w:r>
    <w:r>
      <w:rPr>
        <w:rStyle w:val="PageNumber"/>
      </w:rPr>
      <w:instrText xml:space="preserve"> PAGE </w:instrText>
    </w:r>
    <w:r>
      <w:rPr>
        <w:rStyle w:val="PageNumber"/>
      </w:rPr>
      <w:fldChar w:fldCharType="separate"/>
    </w:r>
    <w:r w:rsidR="00C91903">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D7B8A" w14:textId="77777777" w:rsidR="00FA1FB5" w:rsidRDefault="00FA1FB5">
      <w:r>
        <w:separator/>
      </w:r>
    </w:p>
  </w:footnote>
  <w:footnote w:type="continuationSeparator" w:id="0">
    <w:p w14:paraId="372D3630" w14:textId="77777777" w:rsidR="00FA1FB5" w:rsidRDefault="00FA1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1C7E6" w14:textId="77777777" w:rsidR="00C37D4E" w:rsidRPr="00FF20FC" w:rsidRDefault="00C37D4E" w:rsidP="00FF20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B38"/>
    <w:multiLevelType w:val="hybridMultilevel"/>
    <w:tmpl w:val="BCFC7F18"/>
    <w:lvl w:ilvl="0" w:tplc="1FF8EC8A">
      <w:start w:val="1"/>
      <w:numFmt w:val="decimal"/>
      <w:lvlText w:val="%1."/>
      <w:lvlJc w:val="left"/>
      <w:pPr>
        <w:ind w:left="720" w:hanging="360"/>
      </w:pPr>
      <w:rPr>
        <w:rFonts w:cs="Times New Roman"/>
        <w:sz w:val="22"/>
        <w:szCs w:val="22"/>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72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4026A96"/>
    <w:multiLevelType w:val="hybridMultilevel"/>
    <w:tmpl w:val="89889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45D23"/>
    <w:multiLevelType w:val="hybridMultilevel"/>
    <w:tmpl w:val="C3A071F0"/>
    <w:lvl w:ilvl="0" w:tplc="04090005">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3">
    <w:nsid w:val="16DE674F"/>
    <w:multiLevelType w:val="hybridMultilevel"/>
    <w:tmpl w:val="C8CE32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641E55"/>
    <w:multiLevelType w:val="hybridMultilevel"/>
    <w:tmpl w:val="C62863A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26D900E2"/>
    <w:multiLevelType w:val="hybridMultilevel"/>
    <w:tmpl w:val="0F2C5BB8"/>
    <w:lvl w:ilvl="0" w:tplc="7972A65E">
      <w:numFmt w:val="bullet"/>
      <w:lvlText w:val="·"/>
      <w:lvlJc w:val="left"/>
      <w:pPr>
        <w:ind w:left="1800" w:hanging="360"/>
      </w:pPr>
      <w:rPr>
        <w:rFonts w:ascii="Times New Roman" w:eastAsia="Arial"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700645D"/>
    <w:multiLevelType w:val="multilevel"/>
    <w:tmpl w:val="6732411A"/>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008"/>
        </w:tabs>
        <w:ind w:left="1008" w:hanging="1008"/>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36244D64"/>
    <w:multiLevelType w:val="hybridMultilevel"/>
    <w:tmpl w:val="6A4696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A169E8"/>
    <w:multiLevelType w:val="hybridMultilevel"/>
    <w:tmpl w:val="5FA838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9C616AF"/>
    <w:multiLevelType w:val="hybridMultilevel"/>
    <w:tmpl w:val="8EFE4C0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3ACA1EE4"/>
    <w:multiLevelType w:val="hybridMultilevel"/>
    <w:tmpl w:val="9D80DFF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3B5D188D"/>
    <w:multiLevelType w:val="hybridMultilevel"/>
    <w:tmpl w:val="271CC9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0F0021"/>
    <w:multiLevelType w:val="hybridMultilevel"/>
    <w:tmpl w:val="FC9EC0AA"/>
    <w:lvl w:ilvl="0" w:tplc="0409000F">
      <w:start w:val="1"/>
      <w:numFmt w:val="decimal"/>
      <w:lvlText w:val="%1."/>
      <w:lvlJc w:val="left"/>
      <w:pPr>
        <w:ind w:left="720" w:hanging="360"/>
      </w:pPr>
      <w:rPr>
        <w:rFonts w:cs="Times New Roman"/>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43A1510"/>
    <w:multiLevelType w:val="hybridMultilevel"/>
    <w:tmpl w:val="0B3C64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7007F81"/>
    <w:multiLevelType w:val="hybridMultilevel"/>
    <w:tmpl w:val="E65287F6"/>
    <w:lvl w:ilvl="0" w:tplc="848698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2A72A61"/>
    <w:multiLevelType w:val="hybridMultilevel"/>
    <w:tmpl w:val="1B3AFB6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69495D7C"/>
    <w:multiLevelType w:val="hybridMultilevel"/>
    <w:tmpl w:val="612A27A4"/>
    <w:lvl w:ilvl="0" w:tplc="04090003">
      <w:start w:val="1"/>
      <w:numFmt w:val="bullet"/>
      <w:lvlText w:val="o"/>
      <w:lvlJc w:val="left"/>
      <w:pPr>
        <w:tabs>
          <w:tab w:val="num" w:pos="1125"/>
        </w:tabs>
        <w:ind w:left="1125" w:hanging="360"/>
      </w:pPr>
      <w:rPr>
        <w:rFonts w:ascii="Courier New" w:hAnsi="Courier New" w:cs="Courier New"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17">
    <w:nsid w:val="72586B08"/>
    <w:multiLevelType w:val="hybridMultilevel"/>
    <w:tmpl w:val="08BC78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438678A"/>
    <w:multiLevelType w:val="hybridMultilevel"/>
    <w:tmpl w:val="DB6EB4F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7"/>
  </w:num>
  <w:num w:numId="2">
    <w:abstractNumId w:val="18"/>
  </w:num>
  <w:num w:numId="3">
    <w:abstractNumId w:val="9"/>
  </w:num>
  <w:num w:numId="4">
    <w:abstractNumId w:val="15"/>
  </w:num>
  <w:num w:numId="5">
    <w:abstractNumId w:val="2"/>
  </w:num>
  <w:num w:numId="6">
    <w:abstractNumId w:val="4"/>
  </w:num>
  <w:num w:numId="7">
    <w:abstractNumId w:val="10"/>
  </w:num>
  <w:num w:numId="8">
    <w:abstractNumId w:val="7"/>
  </w:num>
  <w:num w:numId="9">
    <w:abstractNumId w:val="11"/>
  </w:num>
  <w:num w:numId="10">
    <w:abstractNumId w:val="3"/>
  </w:num>
  <w:num w:numId="11">
    <w:abstractNumId w:val="16"/>
  </w:num>
  <w:num w:numId="12">
    <w:abstractNumId w:val="6"/>
  </w:num>
  <w:num w:numId="13">
    <w:abstractNumId w:val="5"/>
  </w:num>
  <w:num w:numId="14">
    <w:abstractNumId w:val="13"/>
  </w:num>
  <w:num w:numId="15">
    <w:abstractNumId w:val="14"/>
  </w:num>
  <w:num w:numId="16">
    <w:abstractNumId w:val="12"/>
  </w:num>
  <w:num w:numId="17">
    <w:abstractNumId w:val="1"/>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D68"/>
    <w:rsid w:val="00023EDF"/>
    <w:rsid w:val="0003120C"/>
    <w:rsid w:val="00054063"/>
    <w:rsid w:val="00060B60"/>
    <w:rsid w:val="00061735"/>
    <w:rsid w:val="00067B18"/>
    <w:rsid w:val="00070207"/>
    <w:rsid w:val="00083808"/>
    <w:rsid w:val="00095237"/>
    <w:rsid w:val="000A1112"/>
    <w:rsid w:val="000D09D8"/>
    <w:rsid w:val="000D5B90"/>
    <w:rsid w:val="000D7465"/>
    <w:rsid w:val="00103966"/>
    <w:rsid w:val="00106BDC"/>
    <w:rsid w:val="00107980"/>
    <w:rsid w:val="00115CA6"/>
    <w:rsid w:val="00116A1E"/>
    <w:rsid w:val="00121D29"/>
    <w:rsid w:val="00123851"/>
    <w:rsid w:val="001304CC"/>
    <w:rsid w:val="00143B45"/>
    <w:rsid w:val="00170C31"/>
    <w:rsid w:val="00176459"/>
    <w:rsid w:val="0019273E"/>
    <w:rsid w:val="001927E0"/>
    <w:rsid w:val="001B0A56"/>
    <w:rsid w:val="001C236D"/>
    <w:rsid w:val="001D3FD7"/>
    <w:rsid w:val="001E6FC6"/>
    <w:rsid w:val="001F13F1"/>
    <w:rsid w:val="00210E48"/>
    <w:rsid w:val="00235E03"/>
    <w:rsid w:val="00256D1B"/>
    <w:rsid w:val="002737F2"/>
    <w:rsid w:val="0027591C"/>
    <w:rsid w:val="00285F82"/>
    <w:rsid w:val="002A0579"/>
    <w:rsid w:val="002A09F5"/>
    <w:rsid w:val="002A0A54"/>
    <w:rsid w:val="002B12E6"/>
    <w:rsid w:val="002B4B62"/>
    <w:rsid w:val="002B742F"/>
    <w:rsid w:val="002C30C6"/>
    <w:rsid w:val="002C3FFF"/>
    <w:rsid w:val="002C64EE"/>
    <w:rsid w:val="002D1EF2"/>
    <w:rsid w:val="002E0198"/>
    <w:rsid w:val="002E7920"/>
    <w:rsid w:val="002F5491"/>
    <w:rsid w:val="00324349"/>
    <w:rsid w:val="003260B4"/>
    <w:rsid w:val="0032747A"/>
    <w:rsid w:val="00353A17"/>
    <w:rsid w:val="0036425D"/>
    <w:rsid w:val="0037671E"/>
    <w:rsid w:val="00386263"/>
    <w:rsid w:val="00391D57"/>
    <w:rsid w:val="003A3079"/>
    <w:rsid w:val="003C57B0"/>
    <w:rsid w:val="003D3B4A"/>
    <w:rsid w:val="003D733C"/>
    <w:rsid w:val="0042125D"/>
    <w:rsid w:val="00421D76"/>
    <w:rsid w:val="0042362E"/>
    <w:rsid w:val="00427728"/>
    <w:rsid w:val="00432E47"/>
    <w:rsid w:val="004516D3"/>
    <w:rsid w:val="004622B8"/>
    <w:rsid w:val="004731C5"/>
    <w:rsid w:val="00497612"/>
    <w:rsid w:val="004A0FBD"/>
    <w:rsid w:val="004A3288"/>
    <w:rsid w:val="004A57D7"/>
    <w:rsid w:val="004B21DF"/>
    <w:rsid w:val="004B4067"/>
    <w:rsid w:val="004B660C"/>
    <w:rsid w:val="004B7C83"/>
    <w:rsid w:val="004C50B8"/>
    <w:rsid w:val="004D0082"/>
    <w:rsid w:val="004F08B0"/>
    <w:rsid w:val="00504326"/>
    <w:rsid w:val="00534009"/>
    <w:rsid w:val="00550363"/>
    <w:rsid w:val="0055269E"/>
    <w:rsid w:val="005668CE"/>
    <w:rsid w:val="005769A4"/>
    <w:rsid w:val="00593ABE"/>
    <w:rsid w:val="005D6301"/>
    <w:rsid w:val="005E0B11"/>
    <w:rsid w:val="005E2D8D"/>
    <w:rsid w:val="005F0293"/>
    <w:rsid w:val="005F1BED"/>
    <w:rsid w:val="006005B2"/>
    <w:rsid w:val="00601380"/>
    <w:rsid w:val="00606F00"/>
    <w:rsid w:val="00613251"/>
    <w:rsid w:val="00637A43"/>
    <w:rsid w:val="0064485E"/>
    <w:rsid w:val="00646C54"/>
    <w:rsid w:val="0066030F"/>
    <w:rsid w:val="00662918"/>
    <w:rsid w:val="006633BF"/>
    <w:rsid w:val="00680217"/>
    <w:rsid w:val="00692F7F"/>
    <w:rsid w:val="006A5800"/>
    <w:rsid w:val="006C4C96"/>
    <w:rsid w:val="006D2148"/>
    <w:rsid w:val="006F276A"/>
    <w:rsid w:val="007004DF"/>
    <w:rsid w:val="00705610"/>
    <w:rsid w:val="007075DD"/>
    <w:rsid w:val="00714FD9"/>
    <w:rsid w:val="00730A88"/>
    <w:rsid w:val="00734689"/>
    <w:rsid w:val="0073735E"/>
    <w:rsid w:val="00747E34"/>
    <w:rsid w:val="0075133D"/>
    <w:rsid w:val="00754BD7"/>
    <w:rsid w:val="0077011A"/>
    <w:rsid w:val="00771C66"/>
    <w:rsid w:val="007901D8"/>
    <w:rsid w:val="007A7CF2"/>
    <w:rsid w:val="007A7D3C"/>
    <w:rsid w:val="007C2C85"/>
    <w:rsid w:val="007C5361"/>
    <w:rsid w:val="007D5D4D"/>
    <w:rsid w:val="00800B83"/>
    <w:rsid w:val="00802B09"/>
    <w:rsid w:val="00803F58"/>
    <w:rsid w:val="008264E6"/>
    <w:rsid w:val="00833A80"/>
    <w:rsid w:val="0086726F"/>
    <w:rsid w:val="0087264A"/>
    <w:rsid w:val="00884724"/>
    <w:rsid w:val="00891C94"/>
    <w:rsid w:val="00897AD8"/>
    <w:rsid w:val="008B1F83"/>
    <w:rsid w:val="008B7E09"/>
    <w:rsid w:val="008C5B2F"/>
    <w:rsid w:val="008D4B4E"/>
    <w:rsid w:val="008D5AAE"/>
    <w:rsid w:val="008F64CD"/>
    <w:rsid w:val="009221B1"/>
    <w:rsid w:val="0099231F"/>
    <w:rsid w:val="00A062DC"/>
    <w:rsid w:val="00A11823"/>
    <w:rsid w:val="00A12CB4"/>
    <w:rsid w:val="00A21A64"/>
    <w:rsid w:val="00A27837"/>
    <w:rsid w:val="00A3177F"/>
    <w:rsid w:val="00A32E52"/>
    <w:rsid w:val="00A41C0F"/>
    <w:rsid w:val="00A51820"/>
    <w:rsid w:val="00A730C8"/>
    <w:rsid w:val="00A736AA"/>
    <w:rsid w:val="00A80643"/>
    <w:rsid w:val="00A83053"/>
    <w:rsid w:val="00A87D9D"/>
    <w:rsid w:val="00AA4231"/>
    <w:rsid w:val="00AA7338"/>
    <w:rsid w:val="00AB10EC"/>
    <w:rsid w:val="00AB1F3E"/>
    <w:rsid w:val="00AC27D6"/>
    <w:rsid w:val="00AD0B11"/>
    <w:rsid w:val="00AD1B59"/>
    <w:rsid w:val="00AD1D03"/>
    <w:rsid w:val="00AE04A0"/>
    <w:rsid w:val="00AF10EA"/>
    <w:rsid w:val="00B024DB"/>
    <w:rsid w:val="00B13335"/>
    <w:rsid w:val="00B171CE"/>
    <w:rsid w:val="00B23D68"/>
    <w:rsid w:val="00B3265B"/>
    <w:rsid w:val="00B41FF0"/>
    <w:rsid w:val="00B42C76"/>
    <w:rsid w:val="00B55990"/>
    <w:rsid w:val="00B626C4"/>
    <w:rsid w:val="00B803D5"/>
    <w:rsid w:val="00B84CB4"/>
    <w:rsid w:val="00B939F3"/>
    <w:rsid w:val="00BD34DA"/>
    <w:rsid w:val="00C11E4B"/>
    <w:rsid w:val="00C160F8"/>
    <w:rsid w:val="00C31C49"/>
    <w:rsid w:val="00C37D4E"/>
    <w:rsid w:val="00C411A0"/>
    <w:rsid w:val="00C41D6D"/>
    <w:rsid w:val="00C52985"/>
    <w:rsid w:val="00C54977"/>
    <w:rsid w:val="00C61BED"/>
    <w:rsid w:val="00C869DC"/>
    <w:rsid w:val="00C91903"/>
    <w:rsid w:val="00CA55AA"/>
    <w:rsid w:val="00CA6C4F"/>
    <w:rsid w:val="00CA6EC3"/>
    <w:rsid w:val="00CB20C5"/>
    <w:rsid w:val="00CD0360"/>
    <w:rsid w:val="00D03AA9"/>
    <w:rsid w:val="00D05B3D"/>
    <w:rsid w:val="00D10C6A"/>
    <w:rsid w:val="00D339FE"/>
    <w:rsid w:val="00D43A56"/>
    <w:rsid w:val="00D45FA4"/>
    <w:rsid w:val="00D5089E"/>
    <w:rsid w:val="00D71F8C"/>
    <w:rsid w:val="00D731FD"/>
    <w:rsid w:val="00DA0A78"/>
    <w:rsid w:val="00DA11FB"/>
    <w:rsid w:val="00DA53CA"/>
    <w:rsid w:val="00DA79C0"/>
    <w:rsid w:val="00DB6AAB"/>
    <w:rsid w:val="00DC130F"/>
    <w:rsid w:val="00DD3CCF"/>
    <w:rsid w:val="00DE453F"/>
    <w:rsid w:val="00DE6E42"/>
    <w:rsid w:val="00DF26B3"/>
    <w:rsid w:val="00E1395B"/>
    <w:rsid w:val="00E17CD1"/>
    <w:rsid w:val="00E44C38"/>
    <w:rsid w:val="00E529E7"/>
    <w:rsid w:val="00E653BE"/>
    <w:rsid w:val="00E832EC"/>
    <w:rsid w:val="00E96AE8"/>
    <w:rsid w:val="00EA662C"/>
    <w:rsid w:val="00EB639C"/>
    <w:rsid w:val="00EE3996"/>
    <w:rsid w:val="00F028AF"/>
    <w:rsid w:val="00F465F6"/>
    <w:rsid w:val="00F560C9"/>
    <w:rsid w:val="00F822B6"/>
    <w:rsid w:val="00FA1FB5"/>
    <w:rsid w:val="00FA6FD6"/>
    <w:rsid w:val="00FB4000"/>
    <w:rsid w:val="00FB7F19"/>
    <w:rsid w:val="00FC59EA"/>
    <w:rsid w:val="00FD2F17"/>
    <w:rsid w:val="00FD5729"/>
    <w:rsid w:val="00FF2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1F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D1B"/>
    <w:rPr>
      <w:sz w:val="24"/>
    </w:rPr>
  </w:style>
  <w:style w:type="paragraph" w:styleId="Heading1">
    <w:name w:val="heading 1"/>
    <w:basedOn w:val="Normal"/>
    <w:next w:val="Normal"/>
    <w:link w:val="Heading1Char"/>
    <w:qFormat/>
    <w:rsid w:val="00256D1B"/>
    <w:pPr>
      <w:keepNext/>
      <w:outlineLvl w:val="0"/>
    </w:pPr>
    <w:rPr>
      <w:rFonts w:ascii="Verdana" w:hAnsi="Verdana"/>
      <w:sz w:val="36"/>
    </w:rPr>
  </w:style>
  <w:style w:type="paragraph" w:styleId="Heading2">
    <w:name w:val="heading 2"/>
    <w:basedOn w:val="Normal"/>
    <w:next w:val="Normal"/>
    <w:qFormat/>
    <w:rsid w:val="00256D1B"/>
    <w:pPr>
      <w:keepNext/>
      <w:spacing w:before="120"/>
      <w:ind w:left="720"/>
      <w:outlineLvl w:val="1"/>
    </w:pPr>
    <w:rPr>
      <w:rFonts w:ascii="Verdana" w:hAnsi="Verdana"/>
      <w:b/>
    </w:rPr>
  </w:style>
  <w:style w:type="paragraph" w:styleId="Heading3">
    <w:name w:val="heading 3"/>
    <w:basedOn w:val="Normal"/>
    <w:next w:val="Normal"/>
    <w:qFormat/>
    <w:rsid w:val="00256D1B"/>
    <w:pPr>
      <w:keepNext/>
      <w:jc w:val="right"/>
      <w:outlineLvl w:val="2"/>
    </w:pPr>
    <w:rPr>
      <w:rFonts w:ascii="Verdana" w:hAnsi="Verdan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170C31"/>
    <w:pPr>
      <w:widowControl w:val="0"/>
      <w:tabs>
        <w:tab w:val="right" w:pos="9360"/>
      </w:tabs>
    </w:pPr>
    <w:rPr>
      <w:rFonts w:ascii="Verdana" w:hAnsi="Verdana"/>
      <w:sz w:val="16"/>
    </w:rPr>
  </w:style>
  <w:style w:type="paragraph" w:styleId="Footer">
    <w:name w:val="footer"/>
    <w:basedOn w:val="Normal"/>
    <w:autoRedefine/>
    <w:rsid w:val="00FB4000"/>
    <w:pPr>
      <w:pBdr>
        <w:top w:val="single" w:sz="8" w:space="1" w:color="666699"/>
      </w:pBdr>
      <w:tabs>
        <w:tab w:val="right" w:pos="6480"/>
        <w:tab w:val="right" w:pos="9180"/>
      </w:tabs>
    </w:pPr>
    <w:rPr>
      <w:rFonts w:ascii="Verdana" w:hAnsi="Verdana"/>
      <w:bCs/>
      <w:sz w:val="20"/>
    </w:rPr>
  </w:style>
  <w:style w:type="paragraph" w:styleId="BodyTextIndent">
    <w:name w:val="Body Text Indent"/>
    <w:aliases w:val="Instruction 2"/>
    <w:basedOn w:val="Normal"/>
    <w:link w:val="BodyTextIndentChar"/>
    <w:rsid w:val="00256D1B"/>
    <w:pPr>
      <w:spacing w:after="240"/>
      <w:ind w:left="1440"/>
    </w:pPr>
    <w:rPr>
      <w:rFonts w:ascii="Verdana" w:hAnsi="Verdana"/>
      <w:color w:val="800080"/>
      <w:sz w:val="20"/>
    </w:rPr>
  </w:style>
  <w:style w:type="paragraph" w:customStyle="1" w:styleId="DocTitle-Right">
    <w:name w:val="Doc Title-Right"/>
    <w:basedOn w:val="Heading1"/>
    <w:autoRedefine/>
    <w:rsid w:val="00324349"/>
    <w:pPr>
      <w:pBdr>
        <w:top w:val="single" w:sz="24" w:space="1" w:color="666699"/>
        <w:right w:val="single" w:sz="24" w:space="4" w:color="666699"/>
      </w:pBdr>
      <w:jc w:val="right"/>
    </w:pPr>
    <w:rPr>
      <w:rFonts w:eastAsia="Times New Roman"/>
      <w:b/>
      <w:bCs/>
      <w:color w:val="339966"/>
      <w:sz w:val="48"/>
      <w:szCs w:val="48"/>
    </w:rPr>
  </w:style>
  <w:style w:type="paragraph" w:customStyle="1" w:styleId="Sub-Title1">
    <w:name w:val="Sub-Title 1"/>
    <w:basedOn w:val="Heading1"/>
    <w:rsid w:val="00DB6AAB"/>
    <w:pPr>
      <w:pBdr>
        <w:top w:val="single" w:sz="8" w:space="1" w:color="800080"/>
      </w:pBdr>
      <w:spacing w:before="1200"/>
      <w:jc w:val="right"/>
    </w:pPr>
    <w:rPr>
      <w:rFonts w:eastAsia="Times New Roman"/>
      <w:sz w:val="24"/>
    </w:rPr>
  </w:style>
  <w:style w:type="paragraph" w:customStyle="1" w:styleId="SubTitle2">
    <w:name w:val="Sub Title 2"/>
    <w:basedOn w:val="Heading3"/>
    <w:rsid w:val="00DB6AAB"/>
    <w:pPr>
      <w:spacing w:after="1080"/>
    </w:pPr>
    <w:rPr>
      <w:rFonts w:eastAsia="Times New Roman"/>
      <w:sz w:val="24"/>
    </w:rPr>
  </w:style>
  <w:style w:type="paragraph" w:customStyle="1" w:styleId="SubTitle3">
    <w:name w:val="Sub Title 3"/>
    <w:basedOn w:val="Normal"/>
    <w:link w:val="SubTitle3Char"/>
    <w:rsid w:val="00DB6AAB"/>
    <w:pPr>
      <w:jc w:val="right"/>
    </w:pPr>
    <w:rPr>
      <w:rFonts w:ascii="Verdana" w:eastAsia="Times New Roman" w:hAnsi="Verdana"/>
    </w:rPr>
  </w:style>
  <w:style w:type="paragraph" w:customStyle="1" w:styleId="StyleHeading124ptBoldOrangeRightAfter12ptTop">
    <w:name w:val="Style Heading 1 + 24 pt Bold Orange Right After:  12 pt Top: (..."/>
    <w:basedOn w:val="Heading1"/>
    <w:autoRedefine/>
    <w:rsid w:val="00A41C0F"/>
    <w:pPr>
      <w:pBdr>
        <w:top w:val="single" w:sz="24" w:space="1" w:color="800080"/>
        <w:right w:val="single" w:sz="24" w:space="4" w:color="800080"/>
      </w:pBdr>
      <w:spacing w:after="120"/>
      <w:jc w:val="right"/>
    </w:pPr>
    <w:rPr>
      <w:rFonts w:eastAsia="Times New Roman"/>
      <w:b/>
      <w:bCs/>
      <w:color w:val="339966"/>
      <w:sz w:val="48"/>
    </w:rPr>
  </w:style>
  <w:style w:type="paragraph" w:customStyle="1" w:styleId="TaglineTop">
    <w:name w:val="Tagline Top"/>
    <w:basedOn w:val="Heading1"/>
    <w:rsid w:val="00DB6AAB"/>
    <w:pPr>
      <w:spacing w:after="40"/>
    </w:pPr>
    <w:rPr>
      <w:rFonts w:eastAsia="Times New Roman"/>
      <w:sz w:val="16"/>
    </w:rPr>
  </w:style>
  <w:style w:type="paragraph" w:customStyle="1" w:styleId="DocTitle2">
    <w:name w:val="Doc Title 2"/>
    <w:basedOn w:val="Heading1"/>
    <w:rsid w:val="008B1F83"/>
    <w:pPr>
      <w:pBdr>
        <w:top w:val="single" w:sz="8" w:space="1" w:color="800080"/>
        <w:right w:val="single" w:sz="8" w:space="4" w:color="auto"/>
      </w:pBdr>
      <w:spacing w:after="240"/>
      <w:jc w:val="right"/>
    </w:pPr>
    <w:rPr>
      <w:rFonts w:eastAsia="Times New Roman"/>
      <w:b/>
      <w:bCs/>
      <w:color w:val="FF6600"/>
      <w:sz w:val="34"/>
    </w:rPr>
  </w:style>
  <w:style w:type="paragraph" w:customStyle="1" w:styleId="Header2">
    <w:name w:val="Header 2"/>
    <w:basedOn w:val="Heading1"/>
    <w:link w:val="Header2Char"/>
    <w:autoRedefine/>
    <w:rsid w:val="0042125D"/>
    <w:pPr>
      <w:pBdr>
        <w:top w:val="single" w:sz="8" w:space="4" w:color="666699"/>
        <w:left w:val="single" w:sz="8" w:space="4" w:color="666699"/>
      </w:pBdr>
      <w:spacing w:before="120"/>
    </w:pPr>
    <w:rPr>
      <w:rFonts w:eastAsia="Times New Roman"/>
      <w:color w:val="76923C" w:themeColor="accent3" w:themeShade="BF"/>
      <w:sz w:val="28"/>
    </w:rPr>
  </w:style>
  <w:style w:type="paragraph" w:customStyle="1" w:styleId="Header3">
    <w:name w:val="Header 3"/>
    <w:basedOn w:val="Heading2"/>
    <w:rsid w:val="008B1F83"/>
    <w:pPr>
      <w:spacing w:after="120"/>
      <w:ind w:left="1440"/>
    </w:pPr>
    <w:rPr>
      <w:rFonts w:eastAsia="Times New Roman"/>
      <w:bCs/>
      <w:sz w:val="22"/>
    </w:rPr>
  </w:style>
  <w:style w:type="character" w:customStyle="1" w:styleId="BodyIndent2">
    <w:name w:val="Body Indent 2"/>
    <w:basedOn w:val="DefaultParagraphFont"/>
    <w:rsid w:val="008B1F83"/>
    <w:rPr>
      <w:rFonts w:ascii="Verdana" w:hAnsi="Verdana"/>
      <w:i/>
      <w:iCs/>
      <w:sz w:val="20"/>
    </w:rPr>
  </w:style>
  <w:style w:type="character" w:customStyle="1" w:styleId="Instruction1">
    <w:name w:val="Instruction 1"/>
    <w:basedOn w:val="DefaultParagraphFont"/>
    <w:rsid w:val="008B1F83"/>
    <w:rPr>
      <w:rFonts w:ascii="Verdana" w:hAnsi="Verdana"/>
      <w:color w:val="800080"/>
      <w:sz w:val="20"/>
    </w:rPr>
  </w:style>
  <w:style w:type="character" w:customStyle="1" w:styleId="Caption1">
    <w:name w:val="Caption 1"/>
    <w:basedOn w:val="DefaultParagraphFont"/>
    <w:rsid w:val="0032747A"/>
    <w:rPr>
      <w:rFonts w:ascii="Verdana" w:hAnsi="Verdana"/>
      <w:sz w:val="18"/>
    </w:rPr>
  </w:style>
  <w:style w:type="paragraph" w:styleId="BlockText">
    <w:name w:val="Block Text"/>
    <w:basedOn w:val="Normal"/>
    <w:rsid w:val="0003120C"/>
    <w:pPr>
      <w:spacing w:before="120" w:after="240"/>
      <w:ind w:left="360"/>
    </w:pPr>
    <w:rPr>
      <w:rFonts w:ascii="Verdana" w:eastAsia="Times New Roman" w:hAnsi="Verdana"/>
      <w:sz w:val="20"/>
    </w:rPr>
  </w:style>
  <w:style w:type="paragraph" w:customStyle="1" w:styleId="TblHeader">
    <w:name w:val="Tbl Header"/>
    <w:basedOn w:val="Normal"/>
    <w:rsid w:val="00210E48"/>
    <w:pPr>
      <w:spacing w:before="120" w:after="120"/>
      <w:jc w:val="center"/>
    </w:pPr>
    <w:rPr>
      <w:rFonts w:ascii="Arial" w:eastAsia="Times New Roman" w:hAnsi="Arial"/>
      <w:b/>
      <w:sz w:val="22"/>
    </w:rPr>
  </w:style>
  <w:style w:type="paragraph" w:customStyle="1" w:styleId="TemplateVerbiage">
    <w:name w:val="Template Verbiage"/>
    <w:basedOn w:val="BodyTextIndent"/>
    <w:rsid w:val="00210E48"/>
    <w:pPr>
      <w:spacing w:before="120" w:after="120"/>
      <w:ind w:left="720"/>
    </w:pPr>
    <w:rPr>
      <w:rFonts w:ascii="Arial" w:eastAsia="Times New Roman" w:hAnsi="Arial"/>
      <w:i/>
      <w:color w:val="0000FF"/>
      <w:sz w:val="18"/>
    </w:rPr>
  </w:style>
  <w:style w:type="table" w:styleId="TableGrid">
    <w:name w:val="Table Grid"/>
    <w:basedOn w:val="TableNormal"/>
    <w:uiPriority w:val="39"/>
    <w:rsid w:val="00210E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aliases w:val="Instruction 2 Char"/>
    <w:basedOn w:val="DefaultParagraphFont"/>
    <w:link w:val="BodyTextIndent"/>
    <w:rsid w:val="00143B45"/>
    <w:rPr>
      <w:rFonts w:ascii="Verdana" w:eastAsia="Times" w:hAnsi="Verdana"/>
      <w:color w:val="800080"/>
      <w:lang w:val="en-US" w:eastAsia="en-US" w:bidi="ar-SA"/>
    </w:rPr>
  </w:style>
  <w:style w:type="character" w:customStyle="1" w:styleId="Heading1Char">
    <w:name w:val="Heading 1 Char"/>
    <w:basedOn w:val="DefaultParagraphFont"/>
    <w:link w:val="Heading1"/>
    <w:rsid w:val="002B742F"/>
    <w:rPr>
      <w:rFonts w:ascii="Verdana" w:eastAsia="Times" w:hAnsi="Verdana"/>
      <w:sz w:val="36"/>
      <w:lang w:val="en-US" w:eastAsia="en-US" w:bidi="ar-SA"/>
    </w:rPr>
  </w:style>
  <w:style w:type="character" w:customStyle="1" w:styleId="Header2Char">
    <w:name w:val="Header 2 Char"/>
    <w:basedOn w:val="Heading1Char"/>
    <w:link w:val="Header2"/>
    <w:rsid w:val="0042125D"/>
    <w:rPr>
      <w:rFonts w:ascii="Verdana" w:eastAsia="Times New Roman" w:hAnsi="Verdana"/>
      <w:color w:val="76923C" w:themeColor="accent3" w:themeShade="BF"/>
      <w:sz w:val="28"/>
      <w:lang w:val="en-US" w:eastAsia="en-US" w:bidi="ar-SA"/>
    </w:rPr>
  </w:style>
  <w:style w:type="paragraph" w:styleId="BodyText2">
    <w:name w:val="Body Text 2"/>
    <w:basedOn w:val="Normal"/>
    <w:rsid w:val="002F5491"/>
    <w:pPr>
      <w:spacing w:after="120" w:line="480" w:lineRule="auto"/>
    </w:pPr>
  </w:style>
  <w:style w:type="paragraph" w:styleId="BodyTextIndent2">
    <w:name w:val="Body Text Indent 2"/>
    <w:basedOn w:val="Normal"/>
    <w:rsid w:val="002F5491"/>
    <w:pPr>
      <w:spacing w:after="120" w:line="480" w:lineRule="auto"/>
      <w:ind w:left="360"/>
    </w:pPr>
  </w:style>
  <w:style w:type="character" w:styleId="PageNumber">
    <w:name w:val="page number"/>
    <w:basedOn w:val="DefaultParagraphFont"/>
    <w:rsid w:val="002F5491"/>
  </w:style>
  <w:style w:type="paragraph" w:customStyle="1" w:styleId="LineAfterTable">
    <w:name w:val="Line After Table"/>
    <w:basedOn w:val="BodyText"/>
    <w:rsid w:val="002F5491"/>
    <w:pPr>
      <w:spacing w:line="120" w:lineRule="exact"/>
    </w:pPr>
    <w:rPr>
      <w:rFonts w:ascii="Arial" w:eastAsia="Times New Roman" w:hAnsi="Arial"/>
      <w:sz w:val="16"/>
    </w:rPr>
  </w:style>
  <w:style w:type="paragraph" w:styleId="Caption">
    <w:name w:val="caption"/>
    <w:basedOn w:val="Normal"/>
    <w:next w:val="Normal"/>
    <w:qFormat/>
    <w:rsid w:val="002F5491"/>
    <w:pPr>
      <w:spacing w:after="120"/>
      <w:jc w:val="center"/>
    </w:pPr>
    <w:rPr>
      <w:rFonts w:ascii="Arial" w:eastAsia="Times New Roman" w:hAnsi="Arial"/>
      <w:b/>
      <w:sz w:val="20"/>
    </w:rPr>
  </w:style>
  <w:style w:type="paragraph" w:customStyle="1" w:styleId="Note">
    <w:name w:val="Note"/>
    <w:aliases w:val="a,b"/>
    <w:basedOn w:val="BodyText"/>
    <w:rsid w:val="002F5491"/>
    <w:pPr>
      <w:pBdr>
        <w:top w:val="single" w:sz="4" w:space="13" w:color="auto"/>
        <w:bottom w:val="single" w:sz="4" w:space="13" w:color="auto"/>
      </w:pBdr>
      <w:spacing w:before="360" w:after="240"/>
      <w:ind w:left="3096" w:hanging="936"/>
    </w:pPr>
    <w:rPr>
      <w:rFonts w:ascii="Arial" w:eastAsia="Times New Roman" w:hAnsi="Arial"/>
      <w:bCs/>
      <w:i/>
      <w:sz w:val="22"/>
    </w:rPr>
  </w:style>
  <w:style w:type="paragraph" w:styleId="BodyText">
    <w:name w:val="Body Text"/>
    <w:basedOn w:val="Normal"/>
    <w:rsid w:val="002F5491"/>
    <w:pPr>
      <w:spacing w:after="120"/>
    </w:pPr>
  </w:style>
  <w:style w:type="paragraph" w:styleId="BalloonText">
    <w:name w:val="Balloon Text"/>
    <w:basedOn w:val="Normal"/>
    <w:semiHidden/>
    <w:rsid w:val="001F13F1"/>
    <w:rPr>
      <w:rFonts w:ascii="Tahoma" w:hAnsi="Tahoma" w:cs="Tahoma"/>
      <w:sz w:val="16"/>
      <w:szCs w:val="16"/>
    </w:rPr>
  </w:style>
  <w:style w:type="character" w:styleId="CommentReference">
    <w:name w:val="annotation reference"/>
    <w:basedOn w:val="DefaultParagraphFont"/>
    <w:semiHidden/>
    <w:rsid w:val="00DE453F"/>
    <w:rPr>
      <w:sz w:val="16"/>
      <w:szCs w:val="16"/>
    </w:rPr>
  </w:style>
  <w:style w:type="paragraph" w:styleId="CommentText">
    <w:name w:val="annotation text"/>
    <w:basedOn w:val="Normal"/>
    <w:semiHidden/>
    <w:rsid w:val="00DE453F"/>
    <w:rPr>
      <w:sz w:val="20"/>
    </w:rPr>
  </w:style>
  <w:style w:type="paragraph" w:styleId="CommentSubject">
    <w:name w:val="annotation subject"/>
    <w:basedOn w:val="CommentText"/>
    <w:next w:val="CommentText"/>
    <w:semiHidden/>
    <w:rsid w:val="00DE453F"/>
    <w:rPr>
      <w:b/>
      <w:bCs/>
    </w:rPr>
  </w:style>
  <w:style w:type="paragraph" w:customStyle="1" w:styleId="TMPheading">
    <w:name w:val="TMP heading"/>
    <w:autoRedefine/>
    <w:rsid w:val="00353A17"/>
    <w:pPr>
      <w:pBdr>
        <w:top w:val="single" w:sz="24" w:space="1" w:color="666699"/>
        <w:right w:val="single" w:sz="24" w:space="4" w:color="666699"/>
      </w:pBdr>
      <w:jc w:val="right"/>
    </w:pPr>
    <w:rPr>
      <w:rFonts w:ascii="Verdana" w:eastAsia="Times New Roman" w:hAnsi="Verdana"/>
      <w:b/>
      <w:bCs/>
      <w:color w:val="76923C" w:themeColor="accent3" w:themeShade="BF"/>
      <w:sz w:val="48"/>
      <w:szCs w:val="48"/>
    </w:rPr>
  </w:style>
  <w:style w:type="paragraph" w:customStyle="1" w:styleId="StyleSub-Title1Blue-GrayBefore72pt">
    <w:name w:val="Style Sub-Title 1 + Blue-Gray Before:  72 pt"/>
    <w:basedOn w:val="Sub-Title1"/>
    <w:autoRedefine/>
    <w:rsid w:val="007D5D4D"/>
    <w:pPr>
      <w:pBdr>
        <w:top w:val="single" w:sz="8" w:space="1" w:color="666699"/>
      </w:pBdr>
      <w:spacing w:before="1440"/>
    </w:pPr>
  </w:style>
  <w:style w:type="paragraph" w:customStyle="1" w:styleId="StyleSubTitle3Blue-Gray">
    <w:name w:val="Style Sub Title 3 + Blue-Gray"/>
    <w:basedOn w:val="SubTitle3"/>
    <w:link w:val="StyleSubTitle3Blue-GrayChar"/>
    <w:rsid w:val="00A41C0F"/>
    <w:pPr>
      <w:pBdr>
        <w:top w:val="single" w:sz="8" w:space="1" w:color="666699"/>
      </w:pBdr>
    </w:pPr>
    <w:rPr>
      <w:color w:val="666699"/>
    </w:rPr>
  </w:style>
  <w:style w:type="character" w:customStyle="1" w:styleId="SubTitle3Char">
    <w:name w:val="Sub Title 3 Char"/>
    <w:basedOn w:val="DefaultParagraphFont"/>
    <w:link w:val="SubTitle3"/>
    <w:rsid w:val="00A41C0F"/>
    <w:rPr>
      <w:rFonts w:ascii="Verdana" w:hAnsi="Verdana"/>
      <w:sz w:val="24"/>
      <w:lang w:val="en-US" w:eastAsia="en-US" w:bidi="ar-SA"/>
    </w:rPr>
  </w:style>
  <w:style w:type="character" w:customStyle="1" w:styleId="StyleSubTitle3Blue-GrayChar">
    <w:name w:val="Style Sub Title 3 + Blue-Gray Char"/>
    <w:basedOn w:val="SubTitle3Char"/>
    <w:link w:val="StyleSubTitle3Blue-Gray"/>
    <w:rsid w:val="00A41C0F"/>
    <w:rPr>
      <w:rFonts w:ascii="Verdana" w:hAnsi="Verdana"/>
      <w:color w:val="666699"/>
      <w:sz w:val="24"/>
      <w:lang w:val="en-US" w:eastAsia="en-US" w:bidi="ar-SA"/>
    </w:rPr>
  </w:style>
  <w:style w:type="paragraph" w:customStyle="1" w:styleId="StyleDocTitle-RightRightSinglesolidlineBlue-Gray3pt">
    <w:name w:val="Style Doc Title-Right + Right: (Single solid line Blue-Gray  3 pt..."/>
    <w:basedOn w:val="DocTitle-Right"/>
    <w:autoRedefine/>
    <w:rsid w:val="00353A17"/>
    <w:pPr>
      <w:pBdr>
        <w:right w:val="single" w:sz="24" w:space="0" w:color="666699"/>
      </w:pBdr>
    </w:pPr>
    <w:rPr>
      <w:color w:val="76923C" w:themeColor="accent3" w:themeShade="BF"/>
      <w:sz w:val="44"/>
      <w:szCs w:val="44"/>
    </w:rPr>
  </w:style>
  <w:style w:type="paragraph" w:customStyle="1" w:styleId="StyleHeader2TopSinglesolidlineViolet1ptLinewidth">
    <w:name w:val="Style Header 2 + Top: (Single solid line Violet  1 pt Line width..."/>
    <w:basedOn w:val="Header2"/>
    <w:autoRedefine/>
    <w:rsid w:val="00324349"/>
  </w:style>
  <w:style w:type="paragraph" w:customStyle="1" w:styleId="StyleFooterTopSinglesolidlineBlue-Gray1ptLinewidth">
    <w:name w:val="Style Footer + Top: (Single solid line Blue-Gray  1 pt Line width..."/>
    <w:basedOn w:val="Footer"/>
    <w:rsid w:val="00FB7F19"/>
    <w:pPr>
      <w:pBdr>
        <w:top w:val="none" w:sz="0" w:space="0" w:color="auto"/>
      </w:pBdr>
    </w:pPr>
    <w:rPr>
      <w:rFonts w:eastAsia="Times New Roman"/>
    </w:rPr>
  </w:style>
  <w:style w:type="paragraph" w:customStyle="1" w:styleId="Normal1">
    <w:name w:val="Normal1"/>
    <w:rsid w:val="00C41D6D"/>
    <w:pPr>
      <w:spacing w:line="276" w:lineRule="auto"/>
    </w:pPr>
    <w:rPr>
      <w:rFonts w:ascii="Arial" w:eastAsia="Arial" w:hAnsi="Arial" w:cs="Arial"/>
      <w:color w:val="000000"/>
      <w:sz w:val="22"/>
      <w:szCs w:val="22"/>
    </w:rPr>
  </w:style>
  <w:style w:type="table" w:styleId="MediumShading1-Accent4">
    <w:name w:val="Medium Shading 1 Accent 4"/>
    <w:basedOn w:val="TableNormal"/>
    <w:uiPriority w:val="63"/>
    <w:rsid w:val="00CB20C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ListParagraph">
    <w:name w:val="List Paragraph"/>
    <w:basedOn w:val="Normal"/>
    <w:qFormat/>
    <w:rsid w:val="00747E34"/>
    <w:pPr>
      <w:ind w:left="720"/>
      <w:contextualSpacing/>
    </w:pPr>
  </w:style>
  <w:style w:type="character" w:styleId="FootnoteReference">
    <w:name w:val="footnote reference"/>
    <w:basedOn w:val="DefaultParagraphFont"/>
    <w:uiPriority w:val="99"/>
    <w:unhideWhenUsed/>
    <w:rsid w:val="00AF10EA"/>
    <w:rPr>
      <w:vertAlign w:val="superscript"/>
    </w:rPr>
  </w:style>
  <w:style w:type="paragraph" w:styleId="NormalWeb">
    <w:name w:val="Normal (Web)"/>
    <w:basedOn w:val="Normal"/>
    <w:uiPriority w:val="99"/>
    <w:unhideWhenUsed/>
    <w:rsid w:val="00B41FF0"/>
    <w:pPr>
      <w:spacing w:before="100" w:beforeAutospacing="1" w:after="100" w:afterAutospacing="1"/>
    </w:pPr>
    <w:rPr>
      <w:sz w:val="20"/>
    </w:rPr>
  </w:style>
  <w:style w:type="paragraph" w:styleId="NoSpacing">
    <w:name w:val="No Spacing"/>
    <w:link w:val="NoSpacingChar"/>
    <w:uiPriority w:val="99"/>
    <w:qFormat/>
    <w:rsid w:val="00B171CE"/>
    <w:rPr>
      <w:rFonts w:ascii="Calibri" w:eastAsia="Calibri" w:hAnsi="Calibri"/>
      <w:sz w:val="22"/>
      <w:szCs w:val="22"/>
    </w:rPr>
  </w:style>
  <w:style w:type="character" w:customStyle="1" w:styleId="NoSpacingChar">
    <w:name w:val="No Spacing Char"/>
    <w:basedOn w:val="DefaultParagraphFont"/>
    <w:link w:val="NoSpacing"/>
    <w:uiPriority w:val="99"/>
    <w:locked/>
    <w:rsid w:val="00B171CE"/>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D1B"/>
    <w:rPr>
      <w:sz w:val="24"/>
    </w:rPr>
  </w:style>
  <w:style w:type="paragraph" w:styleId="Heading1">
    <w:name w:val="heading 1"/>
    <w:basedOn w:val="Normal"/>
    <w:next w:val="Normal"/>
    <w:link w:val="Heading1Char"/>
    <w:qFormat/>
    <w:rsid w:val="00256D1B"/>
    <w:pPr>
      <w:keepNext/>
      <w:outlineLvl w:val="0"/>
    </w:pPr>
    <w:rPr>
      <w:rFonts w:ascii="Verdana" w:hAnsi="Verdana"/>
      <w:sz w:val="36"/>
    </w:rPr>
  </w:style>
  <w:style w:type="paragraph" w:styleId="Heading2">
    <w:name w:val="heading 2"/>
    <w:basedOn w:val="Normal"/>
    <w:next w:val="Normal"/>
    <w:qFormat/>
    <w:rsid w:val="00256D1B"/>
    <w:pPr>
      <w:keepNext/>
      <w:spacing w:before="120"/>
      <w:ind w:left="720"/>
      <w:outlineLvl w:val="1"/>
    </w:pPr>
    <w:rPr>
      <w:rFonts w:ascii="Verdana" w:hAnsi="Verdana"/>
      <w:b/>
    </w:rPr>
  </w:style>
  <w:style w:type="paragraph" w:styleId="Heading3">
    <w:name w:val="heading 3"/>
    <w:basedOn w:val="Normal"/>
    <w:next w:val="Normal"/>
    <w:qFormat/>
    <w:rsid w:val="00256D1B"/>
    <w:pPr>
      <w:keepNext/>
      <w:jc w:val="right"/>
      <w:outlineLvl w:val="2"/>
    </w:pPr>
    <w:rPr>
      <w:rFonts w:ascii="Verdana" w:hAnsi="Verdan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170C31"/>
    <w:pPr>
      <w:widowControl w:val="0"/>
      <w:tabs>
        <w:tab w:val="right" w:pos="9360"/>
      </w:tabs>
    </w:pPr>
    <w:rPr>
      <w:rFonts w:ascii="Verdana" w:hAnsi="Verdana"/>
      <w:sz w:val="16"/>
    </w:rPr>
  </w:style>
  <w:style w:type="paragraph" w:styleId="Footer">
    <w:name w:val="footer"/>
    <w:basedOn w:val="Normal"/>
    <w:autoRedefine/>
    <w:rsid w:val="00FB4000"/>
    <w:pPr>
      <w:pBdr>
        <w:top w:val="single" w:sz="8" w:space="1" w:color="666699"/>
      </w:pBdr>
      <w:tabs>
        <w:tab w:val="right" w:pos="6480"/>
        <w:tab w:val="right" w:pos="9180"/>
      </w:tabs>
    </w:pPr>
    <w:rPr>
      <w:rFonts w:ascii="Verdana" w:hAnsi="Verdana"/>
      <w:bCs/>
      <w:sz w:val="20"/>
    </w:rPr>
  </w:style>
  <w:style w:type="paragraph" w:styleId="BodyTextIndent">
    <w:name w:val="Body Text Indent"/>
    <w:aliases w:val="Instruction 2"/>
    <w:basedOn w:val="Normal"/>
    <w:link w:val="BodyTextIndentChar"/>
    <w:rsid w:val="00256D1B"/>
    <w:pPr>
      <w:spacing w:after="240"/>
      <w:ind w:left="1440"/>
    </w:pPr>
    <w:rPr>
      <w:rFonts w:ascii="Verdana" w:hAnsi="Verdana"/>
      <w:color w:val="800080"/>
      <w:sz w:val="20"/>
    </w:rPr>
  </w:style>
  <w:style w:type="paragraph" w:customStyle="1" w:styleId="DocTitle-Right">
    <w:name w:val="Doc Title-Right"/>
    <w:basedOn w:val="Heading1"/>
    <w:autoRedefine/>
    <w:rsid w:val="00324349"/>
    <w:pPr>
      <w:pBdr>
        <w:top w:val="single" w:sz="24" w:space="1" w:color="666699"/>
        <w:right w:val="single" w:sz="24" w:space="4" w:color="666699"/>
      </w:pBdr>
      <w:jc w:val="right"/>
    </w:pPr>
    <w:rPr>
      <w:rFonts w:eastAsia="Times New Roman"/>
      <w:b/>
      <w:bCs/>
      <w:color w:val="339966"/>
      <w:sz w:val="48"/>
      <w:szCs w:val="48"/>
    </w:rPr>
  </w:style>
  <w:style w:type="paragraph" w:customStyle="1" w:styleId="Sub-Title1">
    <w:name w:val="Sub-Title 1"/>
    <w:basedOn w:val="Heading1"/>
    <w:rsid w:val="00DB6AAB"/>
    <w:pPr>
      <w:pBdr>
        <w:top w:val="single" w:sz="8" w:space="1" w:color="800080"/>
      </w:pBdr>
      <w:spacing w:before="1200"/>
      <w:jc w:val="right"/>
    </w:pPr>
    <w:rPr>
      <w:rFonts w:eastAsia="Times New Roman"/>
      <w:sz w:val="24"/>
    </w:rPr>
  </w:style>
  <w:style w:type="paragraph" w:customStyle="1" w:styleId="SubTitle2">
    <w:name w:val="Sub Title 2"/>
    <w:basedOn w:val="Heading3"/>
    <w:rsid w:val="00DB6AAB"/>
    <w:pPr>
      <w:spacing w:after="1080"/>
    </w:pPr>
    <w:rPr>
      <w:rFonts w:eastAsia="Times New Roman"/>
      <w:sz w:val="24"/>
    </w:rPr>
  </w:style>
  <w:style w:type="paragraph" w:customStyle="1" w:styleId="SubTitle3">
    <w:name w:val="Sub Title 3"/>
    <w:basedOn w:val="Normal"/>
    <w:link w:val="SubTitle3Char"/>
    <w:rsid w:val="00DB6AAB"/>
    <w:pPr>
      <w:jc w:val="right"/>
    </w:pPr>
    <w:rPr>
      <w:rFonts w:ascii="Verdana" w:eastAsia="Times New Roman" w:hAnsi="Verdana"/>
    </w:rPr>
  </w:style>
  <w:style w:type="paragraph" w:customStyle="1" w:styleId="StyleHeading124ptBoldOrangeRightAfter12ptTop">
    <w:name w:val="Style Heading 1 + 24 pt Bold Orange Right After:  12 pt Top: (..."/>
    <w:basedOn w:val="Heading1"/>
    <w:autoRedefine/>
    <w:rsid w:val="00A41C0F"/>
    <w:pPr>
      <w:pBdr>
        <w:top w:val="single" w:sz="24" w:space="1" w:color="800080"/>
        <w:right w:val="single" w:sz="24" w:space="4" w:color="800080"/>
      </w:pBdr>
      <w:spacing w:after="120"/>
      <w:jc w:val="right"/>
    </w:pPr>
    <w:rPr>
      <w:rFonts w:eastAsia="Times New Roman"/>
      <w:b/>
      <w:bCs/>
      <w:color w:val="339966"/>
      <w:sz w:val="48"/>
    </w:rPr>
  </w:style>
  <w:style w:type="paragraph" w:customStyle="1" w:styleId="TaglineTop">
    <w:name w:val="Tagline Top"/>
    <w:basedOn w:val="Heading1"/>
    <w:rsid w:val="00DB6AAB"/>
    <w:pPr>
      <w:spacing w:after="40"/>
    </w:pPr>
    <w:rPr>
      <w:rFonts w:eastAsia="Times New Roman"/>
      <w:sz w:val="16"/>
    </w:rPr>
  </w:style>
  <w:style w:type="paragraph" w:customStyle="1" w:styleId="DocTitle2">
    <w:name w:val="Doc Title 2"/>
    <w:basedOn w:val="Heading1"/>
    <w:rsid w:val="008B1F83"/>
    <w:pPr>
      <w:pBdr>
        <w:top w:val="single" w:sz="8" w:space="1" w:color="800080"/>
        <w:right w:val="single" w:sz="8" w:space="4" w:color="auto"/>
      </w:pBdr>
      <w:spacing w:after="240"/>
      <w:jc w:val="right"/>
    </w:pPr>
    <w:rPr>
      <w:rFonts w:eastAsia="Times New Roman"/>
      <w:b/>
      <w:bCs/>
      <w:color w:val="FF6600"/>
      <w:sz w:val="34"/>
    </w:rPr>
  </w:style>
  <w:style w:type="paragraph" w:customStyle="1" w:styleId="Header2">
    <w:name w:val="Header 2"/>
    <w:basedOn w:val="Heading1"/>
    <w:link w:val="Header2Char"/>
    <w:autoRedefine/>
    <w:rsid w:val="0042125D"/>
    <w:pPr>
      <w:pBdr>
        <w:top w:val="single" w:sz="8" w:space="4" w:color="666699"/>
        <w:left w:val="single" w:sz="8" w:space="4" w:color="666699"/>
      </w:pBdr>
      <w:spacing w:before="120"/>
    </w:pPr>
    <w:rPr>
      <w:rFonts w:eastAsia="Times New Roman"/>
      <w:color w:val="76923C" w:themeColor="accent3" w:themeShade="BF"/>
      <w:sz w:val="28"/>
    </w:rPr>
  </w:style>
  <w:style w:type="paragraph" w:customStyle="1" w:styleId="Header3">
    <w:name w:val="Header 3"/>
    <w:basedOn w:val="Heading2"/>
    <w:rsid w:val="008B1F83"/>
    <w:pPr>
      <w:spacing w:after="120"/>
      <w:ind w:left="1440"/>
    </w:pPr>
    <w:rPr>
      <w:rFonts w:eastAsia="Times New Roman"/>
      <w:bCs/>
      <w:sz w:val="22"/>
    </w:rPr>
  </w:style>
  <w:style w:type="character" w:customStyle="1" w:styleId="BodyIndent2">
    <w:name w:val="Body Indent 2"/>
    <w:basedOn w:val="DefaultParagraphFont"/>
    <w:rsid w:val="008B1F83"/>
    <w:rPr>
      <w:rFonts w:ascii="Verdana" w:hAnsi="Verdana"/>
      <w:i/>
      <w:iCs/>
      <w:sz w:val="20"/>
    </w:rPr>
  </w:style>
  <w:style w:type="character" w:customStyle="1" w:styleId="Instruction1">
    <w:name w:val="Instruction 1"/>
    <w:basedOn w:val="DefaultParagraphFont"/>
    <w:rsid w:val="008B1F83"/>
    <w:rPr>
      <w:rFonts w:ascii="Verdana" w:hAnsi="Verdana"/>
      <w:color w:val="800080"/>
      <w:sz w:val="20"/>
    </w:rPr>
  </w:style>
  <w:style w:type="character" w:customStyle="1" w:styleId="Caption1">
    <w:name w:val="Caption 1"/>
    <w:basedOn w:val="DefaultParagraphFont"/>
    <w:rsid w:val="0032747A"/>
    <w:rPr>
      <w:rFonts w:ascii="Verdana" w:hAnsi="Verdana"/>
      <w:sz w:val="18"/>
    </w:rPr>
  </w:style>
  <w:style w:type="paragraph" w:styleId="BlockText">
    <w:name w:val="Block Text"/>
    <w:basedOn w:val="Normal"/>
    <w:rsid w:val="0003120C"/>
    <w:pPr>
      <w:spacing w:before="120" w:after="240"/>
      <w:ind w:left="360"/>
    </w:pPr>
    <w:rPr>
      <w:rFonts w:ascii="Verdana" w:eastAsia="Times New Roman" w:hAnsi="Verdana"/>
      <w:sz w:val="20"/>
    </w:rPr>
  </w:style>
  <w:style w:type="paragraph" w:customStyle="1" w:styleId="TblHeader">
    <w:name w:val="Tbl Header"/>
    <w:basedOn w:val="Normal"/>
    <w:rsid w:val="00210E48"/>
    <w:pPr>
      <w:spacing w:before="120" w:after="120"/>
      <w:jc w:val="center"/>
    </w:pPr>
    <w:rPr>
      <w:rFonts w:ascii="Arial" w:eastAsia="Times New Roman" w:hAnsi="Arial"/>
      <w:b/>
      <w:sz w:val="22"/>
    </w:rPr>
  </w:style>
  <w:style w:type="paragraph" w:customStyle="1" w:styleId="TemplateVerbiage">
    <w:name w:val="Template Verbiage"/>
    <w:basedOn w:val="BodyTextIndent"/>
    <w:rsid w:val="00210E48"/>
    <w:pPr>
      <w:spacing w:before="120" w:after="120"/>
      <w:ind w:left="720"/>
    </w:pPr>
    <w:rPr>
      <w:rFonts w:ascii="Arial" w:eastAsia="Times New Roman" w:hAnsi="Arial"/>
      <w:i/>
      <w:color w:val="0000FF"/>
      <w:sz w:val="18"/>
    </w:rPr>
  </w:style>
  <w:style w:type="table" w:styleId="TableGrid">
    <w:name w:val="Table Grid"/>
    <w:basedOn w:val="TableNormal"/>
    <w:uiPriority w:val="39"/>
    <w:rsid w:val="00210E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aliases w:val="Instruction 2 Char"/>
    <w:basedOn w:val="DefaultParagraphFont"/>
    <w:link w:val="BodyTextIndent"/>
    <w:rsid w:val="00143B45"/>
    <w:rPr>
      <w:rFonts w:ascii="Verdana" w:eastAsia="Times" w:hAnsi="Verdana"/>
      <w:color w:val="800080"/>
      <w:lang w:val="en-US" w:eastAsia="en-US" w:bidi="ar-SA"/>
    </w:rPr>
  </w:style>
  <w:style w:type="character" w:customStyle="1" w:styleId="Heading1Char">
    <w:name w:val="Heading 1 Char"/>
    <w:basedOn w:val="DefaultParagraphFont"/>
    <w:link w:val="Heading1"/>
    <w:rsid w:val="002B742F"/>
    <w:rPr>
      <w:rFonts w:ascii="Verdana" w:eastAsia="Times" w:hAnsi="Verdana"/>
      <w:sz w:val="36"/>
      <w:lang w:val="en-US" w:eastAsia="en-US" w:bidi="ar-SA"/>
    </w:rPr>
  </w:style>
  <w:style w:type="character" w:customStyle="1" w:styleId="Header2Char">
    <w:name w:val="Header 2 Char"/>
    <w:basedOn w:val="Heading1Char"/>
    <w:link w:val="Header2"/>
    <w:rsid w:val="0042125D"/>
    <w:rPr>
      <w:rFonts w:ascii="Verdana" w:eastAsia="Times New Roman" w:hAnsi="Verdana"/>
      <w:color w:val="76923C" w:themeColor="accent3" w:themeShade="BF"/>
      <w:sz w:val="28"/>
      <w:lang w:val="en-US" w:eastAsia="en-US" w:bidi="ar-SA"/>
    </w:rPr>
  </w:style>
  <w:style w:type="paragraph" w:styleId="BodyText2">
    <w:name w:val="Body Text 2"/>
    <w:basedOn w:val="Normal"/>
    <w:rsid w:val="002F5491"/>
    <w:pPr>
      <w:spacing w:after="120" w:line="480" w:lineRule="auto"/>
    </w:pPr>
  </w:style>
  <w:style w:type="paragraph" w:styleId="BodyTextIndent2">
    <w:name w:val="Body Text Indent 2"/>
    <w:basedOn w:val="Normal"/>
    <w:rsid w:val="002F5491"/>
    <w:pPr>
      <w:spacing w:after="120" w:line="480" w:lineRule="auto"/>
      <w:ind w:left="360"/>
    </w:pPr>
  </w:style>
  <w:style w:type="character" w:styleId="PageNumber">
    <w:name w:val="page number"/>
    <w:basedOn w:val="DefaultParagraphFont"/>
    <w:rsid w:val="002F5491"/>
  </w:style>
  <w:style w:type="paragraph" w:customStyle="1" w:styleId="LineAfterTable">
    <w:name w:val="Line After Table"/>
    <w:basedOn w:val="BodyText"/>
    <w:rsid w:val="002F5491"/>
    <w:pPr>
      <w:spacing w:line="120" w:lineRule="exact"/>
    </w:pPr>
    <w:rPr>
      <w:rFonts w:ascii="Arial" w:eastAsia="Times New Roman" w:hAnsi="Arial"/>
      <w:sz w:val="16"/>
    </w:rPr>
  </w:style>
  <w:style w:type="paragraph" w:styleId="Caption">
    <w:name w:val="caption"/>
    <w:basedOn w:val="Normal"/>
    <w:next w:val="Normal"/>
    <w:qFormat/>
    <w:rsid w:val="002F5491"/>
    <w:pPr>
      <w:spacing w:after="120"/>
      <w:jc w:val="center"/>
    </w:pPr>
    <w:rPr>
      <w:rFonts w:ascii="Arial" w:eastAsia="Times New Roman" w:hAnsi="Arial"/>
      <w:b/>
      <w:sz w:val="20"/>
    </w:rPr>
  </w:style>
  <w:style w:type="paragraph" w:customStyle="1" w:styleId="Note">
    <w:name w:val="Note"/>
    <w:aliases w:val="a,b"/>
    <w:basedOn w:val="BodyText"/>
    <w:rsid w:val="002F5491"/>
    <w:pPr>
      <w:pBdr>
        <w:top w:val="single" w:sz="4" w:space="13" w:color="auto"/>
        <w:bottom w:val="single" w:sz="4" w:space="13" w:color="auto"/>
      </w:pBdr>
      <w:spacing w:before="360" w:after="240"/>
      <w:ind w:left="3096" w:hanging="936"/>
    </w:pPr>
    <w:rPr>
      <w:rFonts w:ascii="Arial" w:eastAsia="Times New Roman" w:hAnsi="Arial"/>
      <w:bCs/>
      <w:i/>
      <w:sz w:val="22"/>
    </w:rPr>
  </w:style>
  <w:style w:type="paragraph" w:styleId="BodyText">
    <w:name w:val="Body Text"/>
    <w:basedOn w:val="Normal"/>
    <w:rsid w:val="002F5491"/>
    <w:pPr>
      <w:spacing w:after="120"/>
    </w:pPr>
  </w:style>
  <w:style w:type="paragraph" w:styleId="BalloonText">
    <w:name w:val="Balloon Text"/>
    <w:basedOn w:val="Normal"/>
    <w:semiHidden/>
    <w:rsid w:val="001F13F1"/>
    <w:rPr>
      <w:rFonts w:ascii="Tahoma" w:hAnsi="Tahoma" w:cs="Tahoma"/>
      <w:sz w:val="16"/>
      <w:szCs w:val="16"/>
    </w:rPr>
  </w:style>
  <w:style w:type="character" w:styleId="CommentReference">
    <w:name w:val="annotation reference"/>
    <w:basedOn w:val="DefaultParagraphFont"/>
    <w:semiHidden/>
    <w:rsid w:val="00DE453F"/>
    <w:rPr>
      <w:sz w:val="16"/>
      <w:szCs w:val="16"/>
    </w:rPr>
  </w:style>
  <w:style w:type="paragraph" w:styleId="CommentText">
    <w:name w:val="annotation text"/>
    <w:basedOn w:val="Normal"/>
    <w:semiHidden/>
    <w:rsid w:val="00DE453F"/>
    <w:rPr>
      <w:sz w:val="20"/>
    </w:rPr>
  </w:style>
  <w:style w:type="paragraph" w:styleId="CommentSubject">
    <w:name w:val="annotation subject"/>
    <w:basedOn w:val="CommentText"/>
    <w:next w:val="CommentText"/>
    <w:semiHidden/>
    <w:rsid w:val="00DE453F"/>
    <w:rPr>
      <w:b/>
      <w:bCs/>
    </w:rPr>
  </w:style>
  <w:style w:type="paragraph" w:customStyle="1" w:styleId="TMPheading">
    <w:name w:val="TMP heading"/>
    <w:autoRedefine/>
    <w:rsid w:val="00353A17"/>
    <w:pPr>
      <w:pBdr>
        <w:top w:val="single" w:sz="24" w:space="1" w:color="666699"/>
        <w:right w:val="single" w:sz="24" w:space="4" w:color="666699"/>
      </w:pBdr>
      <w:jc w:val="right"/>
    </w:pPr>
    <w:rPr>
      <w:rFonts w:ascii="Verdana" w:eastAsia="Times New Roman" w:hAnsi="Verdana"/>
      <w:b/>
      <w:bCs/>
      <w:color w:val="76923C" w:themeColor="accent3" w:themeShade="BF"/>
      <w:sz w:val="48"/>
      <w:szCs w:val="48"/>
    </w:rPr>
  </w:style>
  <w:style w:type="paragraph" w:customStyle="1" w:styleId="StyleSub-Title1Blue-GrayBefore72pt">
    <w:name w:val="Style Sub-Title 1 + Blue-Gray Before:  72 pt"/>
    <w:basedOn w:val="Sub-Title1"/>
    <w:autoRedefine/>
    <w:rsid w:val="007D5D4D"/>
    <w:pPr>
      <w:pBdr>
        <w:top w:val="single" w:sz="8" w:space="1" w:color="666699"/>
      </w:pBdr>
      <w:spacing w:before="1440"/>
    </w:pPr>
  </w:style>
  <w:style w:type="paragraph" w:customStyle="1" w:styleId="StyleSubTitle3Blue-Gray">
    <w:name w:val="Style Sub Title 3 + Blue-Gray"/>
    <w:basedOn w:val="SubTitle3"/>
    <w:link w:val="StyleSubTitle3Blue-GrayChar"/>
    <w:rsid w:val="00A41C0F"/>
    <w:pPr>
      <w:pBdr>
        <w:top w:val="single" w:sz="8" w:space="1" w:color="666699"/>
      </w:pBdr>
    </w:pPr>
    <w:rPr>
      <w:color w:val="666699"/>
    </w:rPr>
  </w:style>
  <w:style w:type="character" w:customStyle="1" w:styleId="SubTitle3Char">
    <w:name w:val="Sub Title 3 Char"/>
    <w:basedOn w:val="DefaultParagraphFont"/>
    <w:link w:val="SubTitle3"/>
    <w:rsid w:val="00A41C0F"/>
    <w:rPr>
      <w:rFonts w:ascii="Verdana" w:hAnsi="Verdana"/>
      <w:sz w:val="24"/>
      <w:lang w:val="en-US" w:eastAsia="en-US" w:bidi="ar-SA"/>
    </w:rPr>
  </w:style>
  <w:style w:type="character" w:customStyle="1" w:styleId="StyleSubTitle3Blue-GrayChar">
    <w:name w:val="Style Sub Title 3 + Blue-Gray Char"/>
    <w:basedOn w:val="SubTitle3Char"/>
    <w:link w:val="StyleSubTitle3Blue-Gray"/>
    <w:rsid w:val="00A41C0F"/>
    <w:rPr>
      <w:rFonts w:ascii="Verdana" w:hAnsi="Verdana"/>
      <w:color w:val="666699"/>
      <w:sz w:val="24"/>
      <w:lang w:val="en-US" w:eastAsia="en-US" w:bidi="ar-SA"/>
    </w:rPr>
  </w:style>
  <w:style w:type="paragraph" w:customStyle="1" w:styleId="StyleDocTitle-RightRightSinglesolidlineBlue-Gray3pt">
    <w:name w:val="Style Doc Title-Right + Right: (Single solid line Blue-Gray  3 pt..."/>
    <w:basedOn w:val="DocTitle-Right"/>
    <w:autoRedefine/>
    <w:rsid w:val="00353A17"/>
    <w:pPr>
      <w:pBdr>
        <w:right w:val="single" w:sz="24" w:space="0" w:color="666699"/>
      </w:pBdr>
    </w:pPr>
    <w:rPr>
      <w:color w:val="76923C" w:themeColor="accent3" w:themeShade="BF"/>
      <w:sz w:val="44"/>
      <w:szCs w:val="44"/>
    </w:rPr>
  </w:style>
  <w:style w:type="paragraph" w:customStyle="1" w:styleId="StyleHeader2TopSinglesolidlineViolet1ptLinewidth">
    <w:name w:val="Style Header 2 + Top: (Single solid line Violet  1 pt Line width..."/>
    <w:basedOn w:val="Header2"/>
    <w:autoRedefine/>
    <w:rsid w:val="00324349"/>
  </w:style>
  <w:style w:type="paragraph" w:customStyle="1" w:styleId="StyleFooterTopSinglesolidlineBlue-Gray1ptLinewidth">
    <w:name w:val="Style Footer + Top: (Single solid line Blue-Gray  1 pt Line width..."/>
    <w:basedOn w:val="Footer"/>
    <w:rsid w:val="00FB7F19"/>
    <w:pPr>
      <w:pBdr>
        <w:top w:val="none" w:sz="0" w:space="0" w:color="auto"/>
      </w:pBdr>
    </w:pPr>
    <w:rPr>
      <w:rFonts w:eastAsia="Times New Roman"/>
    </w:rPr>
  </w:style>
  <w:style w:type="paragraph" w:customStyle="1" w:styleId="Normal1">
    <w:name w:val="Normal1"/>
    <w:rsid w:val="00C41D6D"/>
    <w:pPr>
      <w:spacing w:line="276" w:lineRule="auto"/>
    </w:pPr>
    <w:rPr>
      <w:rFonts w:ascii="Arial" w:eastAsia="Arial" w:hAnsi="Arial" w:cs="Arial"/>
      <w:color w:val="000000"/>
      <w:sz w:val="22"/>
      <w:szCs w:val="22"/>
    </w:rPr>
  </w:style>
  <w:style w:type="table" w:styleId="MediumShading1-Accent4">
    <w:name w:val="Medium Shading 1 Accent 4"/>
    <w:basedOn w:val="TableNormal"/>
    <w:uiPriority w:val="63"/>
    <w:rsid w:val="00CB20C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ListParagraph">
    <w:name w:val="List Paragraph"/>
    <w:basedOn w:val="Normal"/>
    <w:qFormat/>
    <w:rsid w:val="00747E34"/>
    <w:pPr>
      <w:ind w:left="720"/>
      <w:contextualSpacing/>
    </w:pPr>
  </w:style>
  <w:style w:type="character" w:styleId="FootnoteReference">
    <w:name w:val="footnote reference"/>
    <w:basedOn w:val="DefaultParagraphFont"/>
    <w:uiPriority w:val="99"/>
    <w:unhideWhenUsed/>
    <w:rsid w:val="00AF10EA"/>
    <w:rPr>
      <w:vertAlign w:val="superscript"/>
    </w:rPr>
  </w:style>
  <w:style w:type="paragraph" w:styleId="NormalWeb">
    <w:name w:val="Normal (Web)"/>
    <w:basedOn w:val="Normal"/>
    <w:uiPriority w:val="99"/>
    <w:unhideWhenUsed/>
    <w:rsid w:val="00B41FF0"/>
    <w:pPr>
      <w:spacing w:before="100" w:beforeAutospacing="1" w:after="100" w:afterAutospacing="1"/>
    </w:pPr>
    <w:rPr>
      <w:sz w:val="20"/>
    </w:rPr>
  </w:style>
  <w:style w:type="paragraph" w:styleId="NoSpacing">
    <w:name w:val="No Spacing"/>
    <w:link w:val="NoSpacingChar"/>
    <w:uiPriority w:val="99"/>
    <w:qFormat/>
    <w:rsid w:val="00B171CE"/>
    <w:rPr>
      <w:rFonts w:ascii="Calibri" w:eastAsia="Calibri" w:hAnsi="Calibri"/>
      <w:sz w:val="22"/>
      <w:szCs w:val="22"/>
    </w:rPr>
  </w:style>
  <w:style w:type="character" w:customStyle="1" w:styleId="NoSpacingChar">
    <w:name w:val="No Spacing Char"/>
    <w:basedOn w:val="DefaultParagraphFont"/>
    <w:link w:val="NoSpacing"/>
    <w:uiPriority w:val="99"/>
    <w:locked/>
    <w:rsid w:val="00B171C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3777">
      <w:bodyDiv w:val="1"/>
      <w:marLeft w:val="0"/>
      <w:marRight w:val="0"/>
      <w:marTop w:val="0"/>
      <w:marBottom w:val="0"/>
      <w:divBdr>
        <w:top w:val="none" w:sz="0" w:space="0" w:color="auto"/>
        <w:left w:val="none" w:sz="0" w:space="0" w:color="auto"/>
        <w:bottom w:val="none" w:sz="0" w:space="0" w:color="auto"/>
        <w:right w:val="none" w:sz="0" w:space="0" w:color="auto"/>
      </w:divBdr>
    </w:div>
    <w:div w:id="227961800">
      <w:bodyDiv w:val="1"/>
      <w:marLeft w:val="0"/>
      <w:marRight w:val="0"/>
      <w:marTop w:val="0"/>
      <w:marBottom w:val="0"/>
      <w:divBdr>
        <w:top w:val="none" w:sz="0" w:space="0" w:color="auto"/>
        <w:left w:val="none" w:sz="0" w:space="0" w:color="auto"/>
        <w:bottom w:val="none" w:sz="0" w:space="0" w:color="auto"/>
        <w:right w:val="none" w:sz="0" w:space="0" w:color="auto"/>
      </w:divBdr>
      <w:divsChild>
        <w:div w:id="1200780443">
          <w:marLeft w:val="0"/>
          <w:marRight w:val="0"/>
          <w:marTop w:val="0"/>
          <w:marBottom w:val="0"/>
          <w:divBdr>
            <w:top w:val="none" w:sz="0" w:space="0" w:color="auto"/>
            <w:left w:val="none" w:sz="0" w:space="0" w:color="auto"/>
            <w:bottom w:val="none" w:sz="0" w:space="0" w:color="auto"/>
            <w:right w:val="none" w:sz="0" w:space="0" w:color="auto"/>
          </w:divBdr>
        </w:div>
        <w:div w:id="369958886">
          <w:marLeft w:val="0"/>
          <w:marRight w:val="0"/>
          <w:marTop w:val="0"/>
          <w:marBottom w:val="0"/>
          <w:divBdr>
            <w:top w:val="none" w:sz="0" w:space="0" w:color="auto"/>
            <w:left w:val="none" w:sz="0" w:space="0" w:color="auto"/>
            <w:bottom w:val="none" w:sz="0" w:space="0" w:color="auto"/>
            <w:right w:val="none" w:sz="0" w:space="0" w:color="auto"/>
          </w:divBdr>
        </w:div>
        <w:div w:id="1048383306">
          <w:marLeft w:val="0"/>
          <w:marRight w:val="0"/>
          <w:marTop w:val="0"/>
          <w:marBottom w:val="0"/>
          <w:divBdr>
            <w:top w:val="none" w:sz="0" w:space="0" w:color="auto"/>
            <w:left w:val="none" w:sz="0" w:space="0" w:color="auto"/>
            <w:bottom w:val="none" w:sz="0" w:space="0" w:color="auto"/>
            <w:right w:val="none" w:sz="0" w:space="0" w:color="auto"/>
          </w:divBdr>
        </w:div>
      </w:divsChild>
    </w:div>
    <w:div w:id="264970356">
      <w:bodyDiv w:val="1"/>
      <w:marLeft w:val="0"/>
      <w:marRight w:val="0"/>
      <w:marTop w:val="0"/>
      <w:marBottom w:val="0"/>
      <w:divBdr>
        <w:top w:val="none" w:sz="0" w:space="0" w:color="auto"/>
        <w:left w:val="none" w:sz="0" w:space="0" w:color="auto"/>
        <w:bottom w:val="none" w:sz="0" w:space="0" w:color="auto"/>
        <w:right w:val="none" w:sz="0" w:space="0" w:color="auto"/>
      </w:divBdr>
    </w:div>
    <w:div w:id="536701801">
      <w:bodyDiv w:val="1"/>
      <w:marLeft w:val="0"/>
      <w:marRight w:val="0"/>
      <w:marTop w:val="0"/>
      <w:marBottom w:val="0"/>
      <w:divBdr>
        <w:top w:val="none" w:sz="0" w:space="0" w:color="auto"/>
        <w:left w:val="none" w:sz="0" w:space="0" w:color="auto"/>
        <w:bottom w:val="none" w:sz="0" w:space="0" w:color="auto"/>
        <w:right w:val="none" w:sz="0" w:space="0" w:color="auto"/>
      </w:divBdr>
      <w:divsChild>
        <w:div w:id="1112700294">
          <w:marLeft w:val="1440"/>
          <w:marRight w:val="0"/>
          <w:marTop w:val="120"/>
          <w:marBottom w:val="0"/>
          <w:divBdr>
            <w:top w:val="none" w:sz="0" w:space="0" w:color="auto"/>
            <w:left w:val="none" w:sz="0" w:space="0" w:color="auto"/>
            <w:bottom w:val="none" w:sz="0" w:space="0" w:color="auto"/>
            <w:right w:val="none" w:sz="0" w:space="0" w:color="auto"/>
          </w:divBdr>
        </w:div>
        <w:div w:id="1280868248">
          <w:marLeft w:val="1440"/>
          <w:marRight w:val="0"/>
          <w:marTop w:val="0"/>
          <w:marBottom w:val="0"/>
          <w:divBdr>
            <w:top w:val="none" w:sz="0" w:space="0" w:color="auto"/>
            <w:left w:val="none" w:sz="0" w:space="0" w:color="auto"/>
            <w:bottom w:val="none" w:sz="0" w:space="0" w:color="auto"/>
            <w:right w:val="none" w:sz="0" w:space="0" w:color="auto"/>
          </w:divBdr>
        </w:div>
      </w:divsChild>
    </w:div>
    <w:div w:id="1238905945">
      <w:bodyDiv w:val="1"/>
      <w:marLeft w:val="0"/>
      <w:marRight w:val="0"/>
      <w:marTop w:val="0"/>
      <w:marBottom w:val="0"/>
      <w:divBdr>
        <w:top w:val="none" w:sz="0" w:space="0" w:color="auto"/>
        <w:left w:val="none" w:sz="0" w:space="0" w:color="auto"/>
        <w:bottom w:val="none" w:sz="0" w:space="0" w:color="auto"/>
        <w:right w:val="none" w:sz="0" w:space="0" w:color="auto"/>
      </w:divBdr>
    </w:div>
    <w:div w:id="1270970861">
      <w:bodyDiv w:val="1"/>
      <w:marLeft w:val="0"/>
      <w:marRight w:val="0"/>
      <w:marTop w:val="0"/>
      <w:marBottom w:val="0"/>
      <w:divBdr>
        <w:top w:val="none" w:sz="0" w:space="0" w:color="auto"/>
        <w:left w:val="none" w:sz="0" w:space="0" w:color="auto"/>
        <w:bottom w:val="none" w:sz="0" w:space="0" w:color="auto"/>
        <w:right w:val="none" w:sz="0" w:space="0" w:color="auto"/>
      </w:divBdr>
    </w:div>
    <w:div w:id="1378552745">
      <w:bodyDiv w:val="1"/>
      <w:marLeft w:val="0"/>
      <w:marRight w:val="0"/>
      <w:marTop w:val="0"/>
      <w:marBottom w:val="0"/>
      <w:divBdr>
        <w:top w:val="none" w:sz="0" w:space="0" w:color="auto"/>
        <w:left w:val="none" w:sz="0" w:space="0" w:color="auto"/>
        <w:bottom w:val="none" w:sz="0" w:space="0" w:color="auto"/>
        <w:right w:val="none" w:sz="0" w:space="0" w:color="auto"/>
      </w:divBdr>
    </w:div>
    <w:div w:id="1610508347">
      <w:bodyDiv w:val="1"/>
      <w:marLeft w:val="0"/>
      <w:marRight w:val="0"/>
      <w:marTop w:val="0"/>
      <w:marBottom w:val="0"/>
      <w:divBdr>
        <w:top w:val="none" w:sz="0" w:space="0" w:color="auto"/>
        <w:left w:val="none" w:sz="0" w:space="0" w:color="auto"/>
        <w:bottom w:val="none" w:sz="0" w:space="0" w:color="auto"/>
        <w:right w:val="none" w:sz="0" w:space="0" w:color="auto"/>
      </w:divBdr>
    </w:div>
    <w:div w:id="1615403296">
      <w:bodyDiv w:val="1"/>
      <w:marLeft w:val="0"/>
      <w:marRight w:val="0"/>
      <w:marTop w:val="0"/>
      <w:marBottom w:val="0"/>
      <w:divBdr>
        <w:top w:val="none" w:sz="0" w:space="0" w:color="auto"/>
        <w:left w:val="none" w:sz="0" w:space="0" w:color="auto"/>
        <w:bottom w:val="none" w:sz="0" w:space="0" w:color="auto"/>
        <w:right w:val="none" w:sz="0" w:space="0" w:color="auto"/>
      </w:divBdr>
    </w:div>
    <w:div w:id="1619068202">
      <w:bodyDiv w:val="1"/>
      <w:marLeft w:val="0"/>
      <w:marRight w:val="0"/>
      <w:marTop w:val="0"/>
      <w:marBottom w:val="0"/>
      <w:divBdr>
        <w:top w:val="none" w:sz="0" w:space="0" w:color="auto"/>
        <w:left w:val="none" w:sz="0" w:space="0" w:color="auto"/>
        <w:bottom w:val="none" w:sz="0" w:space="0" w:color="auto"/>
        <w:right w:val="none" w:sz="0" w:space="0" w:color="auto"/>
      </w:divBdr>
    </w:div>
    <w:div w:id="185152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athejj\AppData\Roaming\Microsoft\Templates\Tactical%20marketing%20plan.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en-US" sz="1200" dirty="0">
                <a:latin typeface="Times New Roman" panose="02020603050405020304" pitchFamily="18" charset="0"/>
                <a:cs typeface="Times New Roman" panose="02020603050405020304" pitchFamily="18" charset="0"/>
              </a:rPr>
              <a:t>Tutors’ Connotations of </a:t>
            </a:r>
            <a:r>
              <a:rPr lang="en-US" sz="1200" i="1" dirty="0">
                <a:latin typeface="Times New Roman" panose="02020603050405020304" pitchFamily="18" charset="0"/>
                <a:cs typeface="Times New Roman" panose="02020603050405020304" pitchFamily="18" charset="0"/>
              </a:rPr>
              <a:t>ELL</a:t>
            </a:r>
          </a:p>
        </c:rich>
      </c:tx>
      <c:overlay val="0"/>
    </c:title>
    <c:autoTitleDeleted val="0"/>
    <c:plotArea>
      <c:layout/>
      <c:pieChart>
        <c:varyColors val="1"/>
        <c:ser>
          <c:idx val="0"/>
          <c:order val="0"/>
          <c:tx>
            <c:strRef>
              <c:f>Sheet1!$B$1</c:f>
              <c:strCache>
                <c:ptCount val="1"/>
                <c:pt idx="0">
                  <c:v>Sales</c:v>
                </c:pt>
              </c:strCache>
            </c:strRef>
          </c:tx>
          <c:dLbls>
            <c:dLbl>
              <c:idx val="0"/>
              <c:layout>
                <c:manualLayout>
                  <c:x val="-0.19016089347670601"/>
                  <c:y val="0.15564163024656599"/>
                </c:manualLayout>
              </c:layout>
              <c:showLegendKey val="0"/>
              <c:showVal val="0"/>
              <c:showCatName val="1"/>
              <c:showSerName val="0"/>
              <c:showPercent val="1"/>
              <c:showBubbleSize val="0"/>
            </c:dLbl>
            <c:dLbl>
              <c:idx val="1"/>
              <c:layout>
                <c:manualLayout>
                  <c:x val="-7.0120631038786296E-2"/>
                  <c:y val="-0.17035019999248399"/>
                </c:manualLayout>
              </c:layout>
              <c:showLegendKey val="0"/>
              <c:showVal val="0"/>
              <c:showCatName val="1"/>
              <c:showSerName val="0"/>
              <c:showPercent val="1"/>
              <c:showBubbleSize val="0"/>
            </c:dLbl>
            <c:dLbl>
              <c:idx val="2"/>
              <c:layout>
                <c:manualLayout>
                  <c:x val="0.207779518858378"/>
                  <c:y val="8.4835133471259302E-2"/>
                </c:manualLayout>
              </c:layout>
              <c:showLegendKey val="0"/>
              <c:showVal val="0"/>
              <c:showCatName val="1"/>
              <c:showSerName val="0"/>
              <c:showPercent val="1"/>
              <c:showBubbleSize val="0"/>
            </c:dLbl>
            <c:txPr>
              <a:bodyPr/>
              <a:lstStyle/>
              <a:p>
                <a:pPr>
                  <a:defRPr sz="1200"/>
                </a:pPr>
                <a:endParaRPr lang="en-US"/>
              </a:p>
            </c:txPr>
            <c:showLegendKey val="0"/>
            <c:showVal val="0"/>
            <c:showCatName val="1"/>
            <c:showSerName val="0"/>
            <c:showPercent val="1"/>
            <c:showBubbleSize val="0"/>
            <c:showLeaderLines val="1"/>
          </c:dLbls>
          <c:cat>
            <c:strRef>
              <c:f>Sheet1!$A$2:$A$4</c:f>
              <c:strCache>
                <c:ptCount val="3"/>
                <c:pt idx="0">
                  <c:v>Negative</c:v>
                </c:pt>
                <c:pt idx="1">
                  <c:v>Positive</c:v>
                </c:pt>
                <c:pt idx="2">
                  <c:v>Neutral</c:v>
                </c:pt>
              </c:strCache>
            </c:strRef>
          </c:cat>
          <c:val>
            <c:numRef>
              <c:f>Sheet1!$B$2:$B$4</c:f>
              <c:numCache>
                <c:formatCode>General</c:formatCode>
                <c:ptCount val="3"/>
                <c:pt idx="0">
                  <c:v>32</c:v>
                </c:pt>
                <c:pt idx="1">
                  <c:v>30</c:v>
                </c:pt>
                <c:pt idx="2">
                  <c:v>38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txPr>
    <a:bodyPr/>
    <a:lstStyle/>
    <a:p>
      <a:pPr>
        <a:defRPr sz="44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7480B-1DF7-4308-8733-45E52E51F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marketing plan</Template>
  <TotalTime>0</TotalTime>
  <Pages>10</Pages>
  <Words>3024</Words>
  <Characters>17241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Services</dc:creator>
  <cp:lastModifiedBy>Kevin Jefferson</cp:lastModifiedBy>
  <cp:revision>2</cp:revision>
  <cp:lastPrinted>2012-06-06T17:37:00Z</cp:lastPrinted>
  <dcterms:created xsi:type="dcterms:W3CDTF">2017-04-11T11:28:00Z</dcterms:created>
  <dcterms:modified xsi:type="dcterms:W3CDTF">2017-04-11T11:28:00Z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TC011504251033</vt:lpwstr>
  </property>
</Properties>
</file>