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D53" w:rsidRDefault="009E4B48">
      <w:pPr>
        <w:pStyle w:val="Heading1"/>
        <w:pBdr>
          <w:bottom w:val="single" w:sz="12" w:space="1" w:color="auto"/>
        </w:pBdr>
        <w:rPr>
          <w:sz w:val="24"/>
          <w:szCs w:val="23"/>
        </w:rPr>
      </w:pPr>
      <w:r>
        <w:rPr>
          <w:noProof/>
        </w:rPr>
        <w:drawing>
          <wp:anchor distT="0" distB="0" distL="114300" distR="114300" simplePos="0" relativeHeight="251657728" behindDoc="0" locked="0" layoutInCell="1" allowOverlap="1">
            <wp:simplePos x="0" y="0"/>
            <wp:positionH relativeFrom="column">
              <wp:posOffset>-177165</wp:posOffset>
            </wp:positionH>
            <wp:positionV relativeFrom="paragraph">
              <wp:posOffset>-66040</wp:posOffset>
            </wp:positionV>
            <wp:extent cx="2381250" cy="1123950"/>
            <wp:effectExtent l="0" t="0" r="0" b="0"/>
            <wp:wrapTopAndBottom/>
            <wp:docPr id="2" name="Picture 2" descr="logo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urp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0D53">
        <w:rPr>
          <w:b/>
          <w:bCs/>
          <w:sz w:val="24"/>
          <w:szCs w:val="23"/>
        </w:rPr>
        <w:t>PAYROLL SERVICES</w:t>
      </w:r>
      <w:r w:rsidR="006A0D53">
        <w:rPr>
          <w:sz w:val="24"/>
          <w:szCs w:val="23"/>
        </w:rPr>
        <w:t xml:space="preserve"> </w:t>
      </w:r>
    </w:p>
    <w:p w:rsidR="006A0D53" w:rsidRDefault="006A0D53">
      <w:pPr>
        <w:rPr>
          <w:b/>
          <w:sz w:val="23"/>
          <w:szCs w:val="23"/>
        </w:rPr>
      </w:pPr>
    </w:p>
    <w:p w:rsidR="006A0D53" w:rsidRDefault="006A0D53">
      <w:pPr>
        <w:pStyle w:val="Heading5"/>
      </w:pPr>
      <w:r>
        <w:t>Moving &amp; Relocation Checklist</w:t>
      </w:r>
    </w:p>
    <w:p w:rsidR="006A0D53" w:rsidRDefault="006A0D53">
      <w:pPr>
        <w:pStyle w:val="BodyText2"/>
      </w:pPr>
    </w:p>
    <w:p w:rsidR="006A0D53" w:rsidRDefault="006A0D53">
      <w:pPr>
        <w:pStyle w:val="BodyText2"/>
      </w:pPr>
      <w:r>
        <w:t>When the University chooses to pay moving and relocation expenses, it must do so within the limitations and restrictions in State Moving and Relocation regulations.  The following information is to assist in moving and relocating employees and their families as quickly as possible, and at a fair and reasonable cost to the University.  Please use the guidelines outlined below when offering moving and relocation allowances to new employees.</w:t>
      </w:r>
    </w:p>
    <w:p w:rsidR="0081446E" w:rsidRDefault="0081446E">
      <w:pPr>
        <w:pStyle w:val="BodyText2"/>
      </w:pPr>
    </w:p>
    <w:p w:rsidR="006A0D53" w:rsidRDefault="006A0D53">
      <w:pPr>
        <w:rPr>
          <w:bCs/>
          <w:sz w:val="24"/>
          <w:szCs w:val="23"/>
        </w:rPr>
      </w:pPr>
    </w:p>
    <w:tbl>
      <w:tblPr>
        <w:tblW w:w="0" w:type="auto"/>
        <w:tblLook w:val="0000" w:firstRow="0" w:lastRow="0" w:firstColumn="0" w:lastColumn="0" w:noHBand="0" w:noVBand="0"/>
      </w:tblPr>
      <w:tblGrid>
        <w:gridCol w:w="721"/>
        <w:gridCol w:w="7919"/>
      </w:tblGrid>
      <w:tr w:rsidR="006A0D53">
        <w:tc>
          <w:tcPr>
            <w:tcW w:w="738" w:type="dxa"/>
            <w:tcBorders>
              <w:bottom w:val="single" w:sz="4" w:space="0" w:color="auto"/>
            </w:tcBorders>
          </w:tcPr>
          <w:p w:rsidR="006A0D53" w:rsidRDefault="006A0D53">
            <w:pPr>
              <w:rPr>
                <w:bCs/>
                <w:sz w:val="24"/>
                <w:szCs w:val="23"/>
              </w:rPr>
            </w:pPr>
          </w:p>
        </w:tc>
        <w:tc>
          <w:tcPr>
            <w:tcW w:w="8118" w:type="dxa"/>
            <w:vAlign w:val="center"/>
          </w:tcPr>
          <w:p w:rsidR="006A0D53" w:rsidRPr="00F91C37" w:rsidRDefault="006A0D53">
            <w:pPr>
              <w:rPr>
                <w:b/>
                <w:bCs/>
                <w:sz w:val="24"/>
                <w:szCs w:val="23"/>
              </w:rPr>
            </w:pPr>
            <w:r>
              <w:rPr>
                <w:b/>
                <w:bCs/>
                <w:sz w:val="24"/>
                <w:szCs w:val="23"/>
              </w:rPr>
              <w:t xml:space="preserve">Submit the signed </w:t>
            </w:r>
            <w:r w:rsidR="00F91C37">
              <w:rPr>
                <w:b/>
                <w:bCs/>
                <w:sz w:val="24"/>
                <w:szCs w:val="23"/>
              </w:rPr>
              <w:t xml:space="preserve">M&amp;R Agreement </w:t>
            </w:r>
            <w:r>
              <w:rPr>
                <w:b/>
                <w:bCs/>
                <w:sz w:val="24"/>
                <w:szCs w:val="23"/>
              </w:rPr>
              <w:t>t</w:t>
            </w:r>
            <w:r w:rsidR="00F91C37">
              <w:rPr>
                <w:b/>
                <w:bCs/>
                <w:sz w:val="24"/>
                <w:szCs w:val="23"/>
              </w:rPr>
              <w:t xml:space="preserve">o Payroll Services </w:t>
            </w:r>
            <w:r w:rsidR="00F91C37" w:rsidRPr="00F91C37">
              <w:rPr>
                <w:b/>
                <w:bCs/>
                <w:sz w:val="24"/>
                <w:szCs w:val="23"/>
                <w:u w:val="single"/>
              </w:rPr>
              <w:t>BEFORE</w:t>
            </w:r>
            <w:r w:rsidR="00F91C37">
              <w:rPr>
                <w:b/>
                <w:bCs/>
                <w:sz w:val="24"/>
                <w:szCs w:val="23"/>
              </w:rPr>
              <w:t xml:space="preserve"> the employee incurs any M&amp;R expenses.  </w:t>
            </w:r>
          </w:p>
        </w:tc>
      </w:tr>
      <w:tr w:rsidR="006A0D53">
        <w:trPr>
          <w:cantSplit/>
        </w:trPr>
        <w:tc>
          <w:tcPr>
            <w:tcW w:w="8856" w:type="dxa"/>
            <w:gridSpan w:val="2"/>
          </w:tcPr>
          <w:p w:rsidR="006A0D53" w:rsidRDefault="006A0D53">
            <w:pPr>
              <w:rPr>
                <w:bCs/>
                <w:sz w:val="16"/>
                <w:szCs w:val="23"/>
              </w:rPr>
            </w:pPr>
          </w:p>
        </w:tc>
      </w:tr>
      <w:tr w:rsidR="006A0D53">
        <w:tc>
          <w:tcPr>
            <w:tcW w:w="738" w:type="dxa"/>
            <w:tcBorders>
              <w:bottom w:val="single" w:sz="4" w:space="0" w:color="auto"/>
            </w:tcBorders>
          </w:tcPr>
          <w:p w:rsidR="006A0D53" w:rsidRDefault="006A0D53">
            <w:pPr>
              <w:rPr>
                <w:bCs/>
                <w:sz w:val="24"/>
                <w:szCs w:val="23"/>
              </w:rPr>
            </w:pPr>
          </w:p>
        </w:tc>
        <w:tc>
          <w:tcPr>
            <w:tcW w:w="8118" w:type="dxa"/>
            <w:vAlign w:val="center"/>
          </w:tcPr>
          <w:p w:rsidR="006A0D53" w:rsidRDefault="006A0D53" w:rsidP="00D35AD7">
            <w:pPr>
              <w:rPr>
                <w:bCs/>
                <w:sz w:val="24"/>
                <w:szCs w:val="23"/>
              </w:rPr>
            </w:pPr>
            <w:r>
              <w:rPr>
                <w:bCs/>
                <w:sz w:val="24"/>
                <w:szCs w:val="23"/>
              </w:rPr>
              <w:t xml:space="preserve">Inform the employee that </w:t>
            </w:r>
            <w:r w:rsidR="00D35AD7">
              <w:rPr>
                <w:bCs/>
                <w:sz w:val="24"/>
                <w:szCs w:val="23"/>
              </w:rPr>
              <w:t>all</w:t>
            </w:r>
            <w:r>
              <w:rPr>
                <w:bCs/>
                <w:sz w:val="24"/>
                <w:szCs w:val="23"/>
              </w:rPr>
              <w:t xml:space="preserve"> M&amp;R expenses are </w:t>
            </w:r>
            <w:r>
              <w:rPr>
                <w:b/>
                <w:sz w:val="24"/>
                <w:szCs w:val="23"/>
              </w:rPr>
              <w:t>TAXABLE</w:t>
            </w:r>
            <w:r>
              <w:rPr>
                <w:bCs/>
                <w:sz w:val="24"/>
                <w:szCs w:val="23"/>
              </w:rPr>
              <w:t xml:space="preserve"> at the supplemental rate (currently </w:t>
            </w:r>
            <w:r w:rsidR="00D35AD7">
              <w:rPr>
                <w:bCs/>
                <w:sz w:val="24"/>
                <w:szCs w:val="23"/>
              </w:rPr>
              <w:t>22</w:t>
            </w:r>
            <w:r>
              <w:rPr>
                <w:bCs/>
                <w:sz w:val="24"/>
                <w:szCs w:val="23"/>
              </w:rPr>
              <w:t>%</w:t>
            </w:r>
            <w:r w:rsidR="000F5DDF">
              <w:rPr>
                <w:bCs/>
                <w:sz w:val="24"/>
                <w:szCs w:val="23"/>
              </w:rPr>
              <w:t xml:space="preserve"> federal, plus applicable state and FICA taxes</w:t>
            </w:r>
            <w:r>
              <w:rPr>
                <w:bCs/>
                <w:sz w:val="24"/>
                <w:szCs w:val="23"/>
              </w:rPr>
              <w:t>)</w:t>
            </w:r>
          </w:p>
        </w:tc>
      </w:tr>
      <w:tr w:rsidR="006A0D53">
        <w:trPr>
          <w:cantSplit/>
        </w:trPr>
        <w:tc>
          <w:tcPr>
            <w:tcW w:w="8856" w:type="dxa"/>
            <w:gridSpan w:val="2"/>
          </w:tcPr>
          <w:p w:rsidR="006A0D53" w:rsidRDefault="006A0D53">
            <w:pPr>
              <w:rPr>
                <w:bCs/>
                <w:sz w:val="16"/>
                <w:szCs w:val="23"/>
              </w:rPr>
            </w:pPr>
          </w:p>
        </w:tc>
      </w:tr>
      <w:tr w:rsidR="006A0D53">
        <w:tc>
          <w:tcPr>
            <w:tcW w:w="738" w:type="dxa"/>
            <w:tcBorders>
              <w:bottom w:val="single" w:sz="4" w:space="0" w:color="auto"/>
            </w:tcBorders>
          </w:tcPr>
          <w:p w:rsidR="006A0D53" w:rsidRDefault="006A0D53">
            <w:pPr>
              <w:rPr>
                <w:bCs/>
                <w:sz w:val="24"/>
                <w:szCs w:val="23"/>
              </w:rPr>
            </w:pPr>
          </w:p>
        </w:tc>
        <w:tc>
          <w:tcPr>
            <w:tcW w:w="8118" w:type="dxa"/>
            <w:vAlign w:val="center"/>
          </w:tcPr>
          <w:p w:rsidR="00E36B36" w:rsidRDefault="006A0D53" w:rsidP="00E36B36">
            <w:pPr>
              <w:rPr>
                <w:bCs/>
                <w:sz w:val="24"/>
                <w:szCs w:val="23"/>
              </w:rPr>
            </w:pPr>
            <w:r>
              <w:rPr>
                <w:bCs/>
                <w:sz w:val="24"/>
                <w:szCs w:val="23"/>
              </w:rPr>
              <w:t xml:space="preserve">Inform the employee that the University does have </w:t>
            </w:r>
            <w:r w:rsidR="002D32A4">
              <w:rPr>
                <w:bCs/>
                <w:sz w:val="24"/>
                <w:szCs w:val="23"/>
              </w:rPr>
              <w:t>contracted/preferred</w:t>
            </w:r>
            <w:r>
              <w:rPr>
                <w:bCs/>
                <w:sz w:val="24"/>
                <w:szCs w:val="23"/>
              </w:rPr>
              <w:t xml:space="preserve"> mover</w:t>
            </w:r>
            <w:r w:rsidR="00272EDD">
              <w:rPr>
                <w:bCs/>
                <w:sz w:val="24"/>
                <w:szCs w:val="23"/>
              </w:rPr>
              <w:t>s</w:t>
            </w:r>
            <w:r w:rsidR="00E36B36">
              <w:rPr>
                <w:bCs/>
                <w:sz w:val="24"/>
                <w:szCs w:val="23"/>
              </w:rPr>
              <w:t>…</w:t>
            </w:r>
          </w:p>
          <w:p w:rsidR="00E36B36" w:rsidRDefault="00E36B36" w:rsidP="00E36B36">
            <w:pPr>
              <w:rPr>
                <w:bCs/>
                <w:sz w:val="24"/>
                <w:szCs w:val="23"/>
              </w:rPr>
            </w:pPr>
          </w:p>
          <w:p w:rsidR="00E36B36" w:rsidRDefault="00E36B36" w:rsidP="00E36B36">
            <w:r w:rsidRPr="00B10722">
              <w:t>Lawrence Transportation Systems</w:t>
            </w:r>
            <w:r>
              <w:tab/>
              <w:t>1/800-336-9626</w:t>
            </w:r>
            <w:r>
              <w:tab/>
              <w:t xml:space="preserve">Contact Justin Key or Michelle </w:t>
            </w:r>
            <w:r w:rsidR="00E07F0E">
              <w:t>Miller</w:t>
            </w:r>
          </w:p>
          <w:p w:rsidR="008B0CCA" w:rsidRDefault="008B0CCA" w:rsidP="00E36B36">
            <w:r w:rsidRPr="00B10722">
              <w:t>Dunmar Moving</w:t>
            </w:r>
            <w:r>
              <w:t xml:space="preserve">                               1/866-971-4322   Contact Britt LaLiberte or Katy Phillips</w:t>
            </w:r>
          </w:p>
          <w:p w:rsidR="005D7996" w:rsidRDefault="005D7996" w:rsidP="0026328A">
            <w:pPr>
              <w:rPr>
                <w:bCs/>
                <w:sz w:val="24"/>
                <w:szCs w:val="23"/>
                <w:u w:val="single"/>
              </w:rPr>
            </w:pPr>
          </w:p>
          <w:p w:rsidR="006A0D53" w:rsidRDefault="006A0D53" w:rsidP="0026328A">
            <w:pPr>
              <w:rPr>
                <w:bCs/>
                <w:sz w:val="24"/>
                <w:szCs w:val="23"/>
              </w:rPr>
            </w:pPr>
            <w:r>
              <w:rPr>
                <w:bCs/>
                <w:sz w:val="24"/>
                <w:szCs w:val="23"/>
                <w:u w:val="single"/>
              </w:rPr>
              <w:t>Note</w:t>
            </w:r>
            <w:r>
              <w:rPr>
                <w:bCs/>
                <w:sz w:val="24"/>
                <w:szCs w:val="23"/>
              </w:rPr>
              <w:t>: International moves</w:t>
            </w:r>
            <w:r w:rsidR="000F2239">
              <w:rPr>
                <w:bCs/>
                <w:sz w:val="24"/>
                <w:szCs w:val="23"/>
              </w:rPr>
              <w:t xml:space="preserve"> are also handled by these movers.</w:t>
            </w:r>
          </w:p>
        </w:tc>
      </w:tr>
      <w:tr w:rsidR="006A0D53">
        <w:trPr>
          <w:cantSplit/>
        </w:trPr>
        <w:tc>
          <w:tcPr>
            <w:tcW w:w="8856" w:type="dxa"/>
            <w:gridSpan w:val="2"/>
          </w:tcPr>
          <w:p w:rsidR="006A0D53" w:rsidRDefault="006A0D53">
            <w:pPr>
              <w:rPr>
                <w:bCs/>
                <w:sz w:val="16"/>
                <w:szCs w:val="23"/>
              </w:rPr>
            </w:pPr>
            <w:bookmarkStart w:id="0" w:name="_GoBack"/>
            <w:bookmarkEnd w:id="0"/>
          </w:p>
        </w:tc>
      </w:tr>
      <w:tr w:rsidR="006A0D53">
        <w:tc>
          <w:tcPr>
            <w:tcW w:w="738" w:type="dxa"/>
            <w:tcBorders>
              <w:bottom w:val="single" w:sz="4" w:space="0" w:color="auto"/>
            </w:tcBorders>
          </w:tcPr>
          <w:p w:rsidR="006A0D53" w:rsidRDefault="006A0D53">
            <w:pPr>
              <w:rPr>
                <w:bCs/>
                <w:sz w:val="24"/>
                <w:szCs w:val="23"/>
              </w:rPr>
            </w:pPr>
          </w:p>
        </w:tc>
        <w:tc>
          <w:tcPr>
            <w:tcW w:w="8118" w:type="dxa"/>
            <w:vAlign w:val="center"/>
          </w:tcPr>
          <w:p w:rsidR="006A0D53" w:rsidRDefault="006A0D53">
            <w:pPr>
              <w:rPr>
                <w:bCs/>
                <w:sz w:val="24"/>
                <w:szCs w:val="23"/>
              </w:rPr>
            </w:pPr>
            <w:r>
              <w:rPr>
                <w:bCs/>
                <w:sz w:val="24"/>
                <w:szCs w:val="23"/>
              </w:rPr>
              <w:t xml:space="preserve">Inform the employee of the </w:t>
            </w:r>
            <w:r w:rsidRPr="006A0D53">
              <w:rPr>
                <w:bCs/>
                <w:sz w:val="24"/>
                <w:szCs w:val="23"/>
                <w:u w:val="single"/>
              </w:rPr>
              <w:t>three bids requirement</w:t>
            </w:r>
            <w:r>
              <w:rPr>
                <w:bCs/>
                <w:sz w:val="24"/>
                <w:szCs w:val="23"/>
              </w:rPr>
              <w:t xml:space="preserve"> for third party movers (unless using the University’s preferred mover</w:t>
            </w:r>
            <w:r w:rsidR="00272EDD">
              <w:rPr>
                <w:bCs/>
                <w:sz w:val="24"/>
                <w:szCs w:val="23"/>
              </w:rPr>
              <w:t>s</w:t>
            </w:r>
            <w:r>
              <w:rPr>
                <w:bCs/>
                <w:sz w:val="24"/>
                <w:szCs w:val="23"/>
              </w:rPr>
              <w:t xml:space="preserve">) and that the three bids should be submitted to Payroll Services for review </w:t>
            </w:r>
            <w:r>
              <w:rPr>
                <w:bCs/>
                <w:sz w:val="24"/>
                <w:szCs w:val="23"/>
                <w:u w:val="single"/>
              </w:rPr>
              <w:t>prior</w:t>
            </w:r>
            <w:r>
              <w:rPr>
                <w:bCs/>
                <w:sz w:val="24"/>
                <w:szCs w:val="23"/>
              </w:rPr>
              <w:t xml:space="preserve"> to making a formal commitment to use the third party mover/common carrier.</w:t>
            </w:r>
          </w:p>
        </w:tc>
      </w:tr>
      <w:tr w:rsidR="006A0D53">
        <w:trPr>
          <w:cantSplit/>
        </w:trPr>
        <w:tc>
          <w:tcPr>
            <w:tcW w:w="8856" w:type="dxa"/>
            <w:gridSpan w:val="2"/>
          </w:tcPr>
          <w:p w:rsidR="006A0D53" w:rsidRDefault="006A0D53">
            <w:pPr>
              <w:rPr>
                <w:bCs/>
                <w:sz w:val="16"/>
                <w:szCs w:val="23"/>
              </w:rPr>
            </w:pPr>
          </w:p>
        </w:tc>
      </w:tr>
      <w:tr w:rsidR="006A0D53">
        <w:tc>
          <w:tcPr>
            <w:tcW w:w="738" w:type="dxa"/>
            <w:tcBorders>
              <w:bottom w:val="single" w:sz="4" w:space="0" w:color="auto"/>
            </w:tcBorders>
          </w:tcPr>
          <w:p w:rsidR="006A0D53" w:rsidRDefault="006A0D53">
            <w:pPr>
              <w:rPr>
                <w:bCs/>
                <w:sz w:val="24"/>
                <w:szCs w:val="23"/>
              </w:rPr>
            </w:pPr>
          </w:p>
        </w:tc>
        <w:tc>
          <w:tcPr>
            <w:tcW w:w="8118" w:type="dxa"/>
            <w:vAlign w:val="center"/>
          </w:tcPr>
          <w:p w:rsidR="006A0D53" w:rsidRDefault="006A0D53" w:rsidP="00375E1A">
            <w:pPr>
              <w:rPr>
                <w:bCs/>
                <w:sz w:val="24"/>
                <w:szCs w:val="23"/>
              </w:rPr>
            </w:pPr>
            <w:r>
              <w:rPr>
                <w:bCs/>
                <w:sz w:val="24"/>
                <w:szCs w:val="23"/>
              </w:rPr>
              <w:t xml:space="preserve">Inform the employee that claims must be </w:t>
            </w:r>
            <w:r w:rsidRPr="006A0D53">
              <w:rPr>
                <w:bCs/>
                <w:sz w:val="24"/>
                <w:szCs w:val="23"/>
                <w:u w:val="single"/>
              </w:rPr>
              <w:t>itemized</w:t>
            </w:r>
            <w:r>
              <w:rPr>
                <w:bCs/>
                <w:sz w:val="24"/>
                <w:szCs w:val="23"/>
              </w:rPr>
              <w:t xml:space="preserve"> and </w:t>
            </w:r>
            <w:r w:rsidRPr="006A0D53">
              <w:rPr>
                <w:bCs/>
                <w:sz w:val="24"/>
                <w:szCs w:val="23"/>
                <w:u w:val="single"/>
              </w:rPr>
              <w:t>original</w:t>
            </w:r>
            <w:r>
              <w:rPr>
                <w:bCs/>
                <w:sz w:val="24"/>
                <w:szCs w:val="23"/>
              </w:rPr>
              <w:t xml:space="preserve"> receipts are required (</w:t>
            </w:r>
            <w:r w:rsidR="00375E1A">
              <w:rPr>
                <w:bCs/>
                <w:sz w:val="24"/>
                <w:szCs w:val="23"/>
              </w:rPr>
              <w:t>excludes</w:t>
            </w:r>
            <w:r>
              <w:rPr>
                <w:bCs/>
                <w:sz w:val="24"/>
                <w:szCs w:val="23"/>
              </w:rPr>
              <w:t xml:space="preserve"> meal receipts</w:t>
            </w:r>
            <w:r w:rsidR="00375E1A">
              <w:rPr>
                <w:bCs/>
                <w:sz w:val="24"/>
                <w:szCs w:val="23"/>
              </w:rPr>
              <w:t>; meal per diem applies</w:t>
            </w:r>
            <w:r>
              <w:rPr>
                <w:bCs/>
                <w:sz w:val="24"/>
                <w:szCs w:val="23"/>
              </w:rPr>
              <w:t>).</w:t>
            </w:r>
          </w:p>
        </w:tc>
      </w:tr>
      <w:tr w:rsidR="006A0D53">
        <w:trPr>
          <w:cantSplit/>
        </w:trPr>
        <w:tc>
          <w:tcPr>
            <w:tcW w:w="8856" w:type="dxa"/>
            <w:gridSpan w:val="2"/>
          </w:tcPr>
          <w:p w:rsidR="006A0D53" w:rsidRDefault="006A0D53">
            <w:pPr>
              <w:rPr>
                <w:bCs/>
                <w:sz w:val="16"/>
                <w:szCs w:val="23"/>
              </w:rPr>
            </w:pPr>
          </w:p>
        </w:tc>
      </w:tr>
      <w:tr w:rsidR="006A0D53">
        <w:tc>
          <w:tcPr>
            <w:tcW w:w="738" w:type="dxa"/>
            <w:tcBorders>
              <w:bottom w:val="single" w:sz="4" w:space="0" w:color="auto"/>
            </w:tcBorders>
          </w:tcPr>
          <w:p w:rsidR="006A0D53" w:rsidRDefault="006A0D53">
            <w:pPr>
              <w:rPr>
                <w:bCs/>
                <w:sz w:val="24"/>
                <w:szCs w:val="23"/>
              </w:rPr>
            </w:pPr>
          </w:p>
        </w:tc>
        <w:tc>
          <w:tcPr>
            <w:tcW w:w="8118" w:type="dxa"/>
            <w:vAlign w:val="center"/>
          </w:tcPr>
          <w:p w:rsidR="006A0D53" w:rsidRDefault="006A0D53">
            <w:pPr>
              <w:pStyle w:val="Heading3"/>
              <w:rPr>
                <w:bCs/>
                <w:szCs w:val="23"/>
              </w:rPr>
            </w:pPr>
            <w:r>
              <w:rPr>
                <w:bCs/>
                <w:szCs w:val="23"/>
              </w:rPr>
              <w:t xml:space="preserve">Forms required w/backup documentation: Voucher, M&amp;R Expense Summary, and </w:t>
            </w:r>
            <w:r w:rsidR="00124DD4">
              <w:rPr>
                <w:bCs/>
                <w:szCs w:val="23"/>
              </w:rPr>
              <w:t>M&amp;R</w:t>
            </w:r>
            <w:r>
              <w:rPr>
                <w:bCs/>
                <w:szCs w:val="23"/>
              </w:rPr>
              <w:t xml:space="preserve"> Agreement</w:t>
            </w:r>
          </w:p>
        </w:tc>
      </w:tr>
      <w:tr w:rsidR="006A0D53">
        <w:trPr>
          <w:cantSplit/>
        </w:trPr>
        <w:tc>
          <w:tcPr>
            <w:tcW w:w="8856" w:type="dxa"/>
            <w:gridSpan w:val="2"/>
          </w:tcPr>
          <w:p w:rsidR="006A0D53" w:rsidRDefault="006A0D53">
            <w:pPr>
              <w:rPr>
                <w:bCs/>
                <w:sz w:val="16"/>
                <w:szCs w:val="23"/>
              </w:rPr>
            </w:pPr>
          </w:p>
        </w:tc>
      </w:tr>
      <w:tr w:rsidR="006A0D53">
        <w:tc>
          <w:tcPr>
            <w:tcW w:w="738" w:type="dxa"/>
            <w:tcBorders>
              <w:bottom w:val="single" w:sz="4" w:space="0" w:color="auto"/>
            </w:tcBorders>
          </w:tcPr>
          <w:p w:rsidR="006A0D53" w:rsidRDefault="006A0D53">
            <w:pPr>
              <w:rPr>
                <w:bCs/>
                <w:sz w:val="24"/>
                <w:szCs w:val="23"/>
              </w:rPr>
            </w:pPr>
          </w:p>
        </w:tc>
        <w:tc>
          <w:tcPr>
            <w:tcW w:w="8118" w:type="dxa"/>
            <w:vAlign w:val="center"/>
          </w:tcPr>
          <w:p w:rsidR="006A0D53" w:rsidRDefault="006A0D53">
            <w:pPr>
              <w:rPr>
                <w:bCs/>
                <w:sz w:val="24"/>
                <w:szCs w:val="23"/>
              </w:rPr>
            </w:pPr>
            <w:r>
              <w:rPr>
                <w:bCs/>
                <w:sz w:val="24"/>
                <w:szCs w:val="23"/>
              </w:rPr>
              <w:t xml:space="preserve">Reference the employee to the </w:t>
            </w:r>
            <w:hyperlink r:id="rId6" w:history="1">
              <w:r>
                <w:rPr>
                  <w:rStyle w:val="Hyperlink"/>
                  <w:bCs/>
                  <w:sz w:val="24"/>
                  <w:szCs w:val="23"/>
                </w:rPr>
                <w:t>University Financial Procedures, Section 5010</w:t>
              </w:r>
            </w:hyperlink>
            <w:r>
              <w:rPr>
                <w:bCs/>
                <w:sz w:val="24"/>
                <w:szCs w:val="23"/>
              </w:rPr>
              <w:t xml:space="preserve"> and to </w:t>
            </w:r>
            <w:hyperlink r:id="rId7" w:history="1">
              <w:r>
                <w:rPr>
                  <w:rStyle w:val="Hyperlink"/>
                  <w:bCs/>
                  <w:sz w:val="24"/>
                  <w:szCs w:val="23"/>
                </w:rPr>
                <w:t>Payroll Services M&amp;R web-page</w:t>
              </w:r>
            </w:hyperlink>
            <w:r>
              <w:rPr>
                <w:bCs/>
                <w:sz w:val="24"/>
                <w:szCs w:val="23"/>
              </w:rPr>
              <w:t xml:space="preserve"> for additional information on what items are and are not reimbursable and additional instructions on completing the necessary paperwork to authorize reimbursements.</w:t>
            </w:r>
          </w:p>
        </w:tc>
      </w:tr>
    </w:tbl>
    <w:p w:rsidR="006A0D53" w:rsidRDefault="006A0D53">
      <w:pPr>
        <w:rPr>
          <w:bCs/>
          <w:sz w:val="23"/>
          <w:szCs w:val="23"/>
        </w:rPr>
      </w:pPr>
    </w:p>
    <w:p w:rsidR="0081446E" w:rsidRDefault="0081446E">
      <w:pPr>
        <w:rPr>
          <w:bCs/>
          <w:sz w:val="23"/>
          <w:szCs w:val="23"/>
        </w:rPr>
      </w:pPr>
    </w:p>
    <w:p w:rsidR="006A0D53" w:rsidRDefault="006A0D53">
      <w:pPr>
        <w:rPr>
          <w:bCs/>
          <w:sz w:val="24"/>
          <w:szCs w:val="23"/>
        </w:rPr>
      </w:pPr>
      <w:r>
        <w:rPr>
          <w:bCs/>
          <w:sz w:val="24"/>
          <w:szCs w:val="23"/>
        </w:rPr>
        <w:t xml:space="preserve">Please contact Sherry Willis at </w:t>
      </w:r>
      <w:hyperlink r:id="rId8" w:history="1">
        <w:r>
          <w:rPr>
            <w:rStyle w:val="Hyperlink"/>
            <w:bCs/>
            <w:sz w:val="24"/>
            <w:szCs w:val="23"/>
          </w:rPr>
          <w:t>willissl@jmu.edu</w:t>
        </w:r>
      </w:hyperlink>
      <w:r>
        <w:rPr>
          <w:bCs/>
          <w:sz w:val="24"/>
          <w:szCs w:val="23"/>
        </w:rPr>
        <w:t xml:space="preserve"> or at x8-8034 for further clarification or if you have additional questions regarding the University’s Moving and Relocation Policy.</w:t>
      </w:r>
    </w:p>
    <w:p w:rsidR="006A0D53" w:rsidRDefault="006A0D53">
      <w:pPr>
        <w:rPr>
          <w:bCs/>
          <w:sz w:val="23"/>
          <w:szCs w:val="23"/>
        </w:rPr>
      </w:pPr>
    </w:p>
    <w:sectPr w:rsidR="006A0D53" w:rsidSect="00F72FDB">
      <w:pgSz w:w="12240" w:h="15840" w:code="1"/>
      <w:pgMar w:top="720" w:right="1800" w:bottom="720" w:left="180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732D"/>
    <w:multiLevelType w:val="singleLevel"/>
    <w:tmpl w:val="5F7ED4B8"/>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B9F07A3"/>
    <w:multiLevelType w:val="hybridMultilevel"/>
    <w:tmpl w:val="6588A0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7B6BB4"/>
    <w:multiLevelType w:val="hybridMultilevel"/>
    <w:tmpl w:val="3244CD2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E9419E4"/>
    <w:multiLevelType w:val="hybridMultilevel"/>
    <w:tmpl w:val="FE4C4D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readOnly" w:enforcement="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37"/>
    <w:rsid w:val="00033DD5"/>
    <w:rsid w:val="000F2239"/>
    <w:rsid w:val="000F5DDF"/>
    <w:rsid w:val="00124DD4"/>
    <w:rsid w:val="00204E99"/>
    <w:rsid w:val="00207B21"/>
    <w:rsid w:val="0026328A"/>
    <w:rsid w:val="00272EDD"/>
    <w:rsid w:val="002D32A4"/>
    <w:rsid w:val="00375E1A"/>
    <w:rsid w:val="00413034"/>
    <w:rsid w:val="00502F23"/>
    <w:rsid w:val="0054693C"/>
    <w:rsid w:val="00561677"/>
    <w:rsid w:val="005A528B"/>
    <w:rsid w:val="005D7996"/>
    <w:rsid w:val="0060574D"/>
    <w:rsid w:val="00674030"/>
    <w:rsid w:val="006831E3"/>
    <w:rsid w:val="006A0D53"/>
    <w:rsid w:val="006D76D4"/>
    <w:rsid w:val="007206CD"/>
    <w:rsid w:val="00756AEF"/>
    <w:rsid w:val="007F6AAC"/>
    <w:rsid w:val="0081446E"/>
    <w:rsid w:val="008B0CCA"/>
    <w:rsid w:val="0090254A"/>
    <w:rsid w:val="00982370"/>
    <w:rsid w:val="009B722F"/>
    <w:rsid w:val="009D1FF8"/>
    <w:rsid w:val="009E4B48"/>
    <w:rsid w:val="009E4CF8"/>
    <w:rsid w:val="00AE634A"/>
    <w:rsid w:val="00B10722"/>
    <w:rsid w:val="00B60A51"/>
    <w:rsid w:val="00B83662"/>
    <w:rsid w:val="00BC45D1"/>
    <w:rsid w:val="00BF4CE8"/>
    <w:rsid w:val="00D02B01"/>
    <w:rsid w:val="00D23F82"/>
    <w:rsid w:val="00D35AD7"/>
    <w:rsid w:val="00D43148"/>
    <w:rsid w:val="00D933DF"/>
    <w:rsid w:val="00DA3851"/>
    <w:rsid w:val="00DE5C4A"/>
    <w:rsid w:val="00E07F0E"/>
    <w:rsid w:val="00E36B36"/>
    <w:rsid w:val="00F018D2"/>
    <w:rsid w:val="00F35C1E"/>
    <w:rsid w:val="00F72FDB"/>
    <w:rsid w:val="00F75117"/>
    <w:rsid w:val="00F9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5ACB57B-0AF9-4E7C-98CF-8510BBBF1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40"/>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bCs/>
      <w:sz w:val="24"/>
      <w:szCs w:val="19"/>
    </w:rPr>
  </w:style>
  <w:style w:type="paragraph" w:styleId="Heading5">
    <w:name w:val="heading 5"/>
    <w:basedOn w:val="Normal"/>
    <w:next w:val="Normal"/>
    <w:qFormat/>
    <w:pPr>
      <w:keepNext/>
      <w:jc w:val="center"/>
      <w:outlineLvl w:val="4"/>
    </w:pPr>
    <w:rPr>
      <w:b/>
      <w:bCs/>
      <w:i/>
      <w:iCs/>
      <w:sz w:val="32"/>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customStyle="1" w:styleId="SubjectLine">
    <w:name w:val="Subject Line"/>
    <w:basedOn w:val="Normal"/>
  </w:style>
  <w:style w:type="paragraph" w:styleId="BodyText">
    <w:name w:val="Body Text"/>
    <w:basedOn w:val="Normal"/>
    <w:pPr>
      <w:spacing w:after="120"/>
    </w:pPr>
  </w:style>
  <w:style w:type="paragraph" w:styleId="Signature">
    <w:name w:val="Signature"/>
    <w:basedOn w:val="Normal"/>
  </w:style>
  <w:style w:type="paragraph" w:styleId="Closing">
    <w:name w:val="Closing"/>
    <w:basedOn w:val="Normal"/>
  </w:style>
  <w:style w:type="paragraph" w:styleId="BodyTextIndent">
    <w:name w:val="Body Text Indent"/>
    <w:basedOn w:val="Normal"/>
    <w:pPr>
      <w:ind w:left="3600"/>
    </w:pPr>
    <w:rPr>
      <w:bCs/>
      <w:sz w:val="24"/>
      <w:szCs w:val="19"/>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rPr>
  </w:style>
  <w:style w:type="paragraph" w:styleId="BodyText2">
    <w:name w:val="Body Text 2"/>
    <w:basedOn w:val="Normal"/>
    <w:rPr>
      <w:bCs/>
      <w:sz w:val="24"/>
      <w:szCs w:val="23"/>
    </w:rPr>
  </w:style>
  <w:style w:type="character" w:styleId="FollowedHyperlink">
    <w:name w:val="FollowedHyperlink"/>
    <w:rPr>
      <w:color w:val="800080"/>
      <w:u w:val="single"/>
    </w:rPr>
  </w:style>
  <w:style w:type="paragraph" w:styleId="BalloonText">
    <w:name w:val="Balloon Text"/>
    <w:basedOn w:val="Normal"/>
    <w:semiHidden/>
    <w:rsid w:val="00756A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0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llissl@jmu.edu" TargetMode="External"/><Relationship Id="rId3" Type="http://schemas.openxmlformats.org/officeDocument/2006/relationships/settings" Target="settings.xml"/><Relationship Id="rId7" Type="http://schemas.openxmlformats.org/officeDocument/2006/relationships/hyperlink" Target="http://www.jmu.edu/payroll/reloca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mu.edu/finprocedures/5000/5010.s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1886</Characters>
  <Application>Microsoft Office Word</Application>
  <DocSecurity>12</DocSecurity>
  <Lines>15</Lines>
  <Paragraphs>4</Paragraphs>
  <ScaleCrop>false</ScaleCrop>
  <HeadingPairs>
    <vt:vector size="2" baseType="variant">
      <vt:variant>
        <vt:lpstr>Title</vt:lpstr>
      </vt:variant>
      <vt:variant>
        <vt:i4>1</vt:i4>
      </vt:variant>
    </vt:vector>
  </HeadingPairs>
  <TitlesOfParts>
    <vt:vector size="1" baseType="lpstr">
      <vt:lpstr>JMU</vt:lpstr>
    </vt:vector>
  </TitlesOfParts>
  <Company>James Madison University</Company>
  <LinksUpToDate>false</LinksUpToDate>
  <CharactersWithSpaces>2212</CharactersWithSpaces>
  <SharedDoc>false</SharedDoc>
  <HLinks>
    <vt:vector size="18" baseType="variant">
      <vt:variant>
        <vt:i4>262186</vt:i4>
      </vt:variant>
      <vt:variant>
        <vt:i4>6</vt:i4>
      </vt:variant>
      <vt:variant>
        <vt:i4>0</vt:i4>
      </vt:variant>
      <vt:variant>
        <vt:i4>5</vt:i4>
      </vt:variant>
      <vt:variant>
        <vt:lpwstr>mailto:willissl@jmu.edu</vt:lpwstr>
      </vt:variant>
      <vt:variant>
        <vt:lpwstr/>
      </vt:variant>
      <vt:variant>
        <vt:i4>6488163</vt:i4>
      </vt:variant>
      <vt:variant>
        <vt:i4>3</vt:i4>
      </vt:variant>
      <vt:variant>
        <vt:i4>0</vt:i4>
      </vt:variant>
      <vt:variant>
        <vt:i4>5</vt:i4>
      </vt:variant>
      <vt:variant>
        <vt:lpwstr>http://www.jmu.edu/payroll/relocation.shtml</vt:lpwstr>
      </vt:variant>
      <vt:variant>
        <vt:lpwstr/>
      </vt:variant>
      <vt:variant>
        <vt:i4>1638491</vt:i4>
      </vt:variant>
      <vt:variant>
        <vt:i4>0</vt:i4>
      </vt:variant>
      <vt:variant>
        <vt:i4>0</vt:i4>
      </vt:variant>
      <vt:variant>
        <vt:i4>5</vt:i4>
      </vt:variant>
      <vt:variant>
        <vt:lpwstr>http://www.jmu.edu/finprocedures/5000/5010.shtml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JMU</dc:title>
  <dc:subject/>
  <dc:creator>woodstm</dc:creator>
  <cp:keywords/>
  <cp:lastModifiedBy>Sherman, Brittany - sherm2bm</cp:lastModifiedBy>
  <cp:revision>2</cp:revision>
  <cp:lastPrinted>2006-04-13T13:16:00Z</cp:lastPrinted>
  <dcterms:created xsi:type="dcterms:W3CDTF">2018-08-15T14:20:00Z</dcterms:created>
  <dcterms:modified xsi:type="dcterms:W3CDTF">2018-08-15T14:20:00Z</dcterms:modified>
</cp:coreProperties>
</file>