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5Dark-Accent4"/>
        <w:tblW w:w="11070" w:type="dxa"/>
        <w:tblInd w:w="-825" w:type="dxa"/>
        <w:tblLook w:val="04A0" w:firstRow="1" w:lastRow="0" w:firstColumn="1" w:lastColumn="0" w:noHBand="0" w:noVBand="1"/>
      </w:tblPr>
      <w:tblGrid>
        <w:gridCol w:w="11070"/>
      </w:tblGrid>
      <w:tr w:rsidR="00EA2814" w:rsidRPr="00EA2814" w:rsidTr="0005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2814" w:rsidRDefault="00EA2814" w:rsidP="00A15772">
            <w:pPr>
              <w:jc w:val="center"/>
              <w:rPr>
                <w:rFonts w:ascii="Arial" w:hAnsi="Arial" w:cs="Arial"/>
                <w:b w:val="0"/>
                <w:sz w:val="32"/>
              </w:rPr>
            </w:pPr>
            <w:r w:rsidRPr="00EA2814">
              <w:rPr>
                <w:rFonts w:ascii="Arial" w:hAnsi="Arial" w:cs="Arial"/>
                <w:sz w:val="32"/>
              </w:rPr>
              <w:t>Code of Virginia §23-2.6.</w:t>
            </w:r>
          </w:p>
          <w:p w:rsidR="00EA2814" w:rsidRPr="00EA2814" w:rsidRDefault="00EA2814" w:rsidP="00A15772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r w:rsidRPr="00EA2814">
              <w:rPr>
                <w:rFonts w:ascii="Arial" w:hAnsi="Arial" w:cs="Arial"/>
                <w:sz w:val="32"/>
              </w:rPr>
              <w:t xml:space="preserve">Transparency in </w:t>
            </w:r>
            <w:r>
              <w:rPr>
                <w:rFonts w:ascii="Arial" w:hAnsi="Arial" w:cs="Arial"/>
                <w:sz w:val="32"/>
              </w:rPr>
              <w:t>H</w:t>
            </w:r>
            <w:r w:rsidRPr="00EA2814">
              <w:rPr>
                <w:rFonts w:ascii="Arial" w:hAnsi="Arial" w:cs="Arial"/>
                <w:sz w:val="32"/>
              </w:rPr>
              <w:t xml:space="preserve">igher </w:t>
            </w:r>
            <w:r>
              <w:rPr>
                <w:rFonts w:ascii="Arial" w:hAnsi="Arial" w:cs="Arial"/>
                <w:sz w:val="32"/>
              </w:rPr>
              <w:t>E</w:t>
            </w:r>
            <w:r w:rsidRPr="00EA2814">
              <w:rPr>
                <w:rFonts w:ascii="Arial" w:hAnsi="Arial" w:cs="Arial"/>
                <w:sz w:val="32"/>
              </w:rPr>
              <w:t xml:space="preserve">ducation </w:t>
            </w:r>
            <w:r>
              <w:rPr>
                <w:rFonts w:ascii="Arial" w:hAnsi="Arial" w:cs="Arial"/>
                <w:sz w:val="32"/>
              </w:rPr>
              <w:t>I</w:t>
            </w:r>
            <w:r w:rsidRPr="00EA2814">
              <w:rPr>
                <w:rFonts w:ascii="Arial" w:hAnsi="Arial" w:cs="Arial"/>
                <w:sz w:val="32"/>
              </w:rPr>
              <w:t>nformation</w:t>
            </w:r>
          </w:p>
        </w:tc>
      </w:tr>
      <w:tr w:rsidR="00EA2814" w:rsidRPr="00EA2814" w:rsidTr="0005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3B78B9">
            <w:pPr>
              <w:jc w:val="center"/>
              <w:rPr>
                <w:rFonts w:ascii="Arial" w:hAnsi="Arial" w:cs="Arial"/>
                <w:color w:val="auto"/>
              </w:rPr>
            </w:pPr>
            <w:r w:rsidRPr="003B78B9">
              <w:rPr>
                <w:rFonts w:ascii="Arial" w:hAnsi="Arial" w:cs="Arial"/>
                <w:color w:val="auto"/>
              </w:rPr>
              <w:t>Each four-year public institution of higher education shall maintain and update annually no later than September 30 a tab or link on the home page of its website that shall include the following information:</w:t>
            </w:r>
          </w:p>
        </w:tc>
      </w:tr>
      <w:tr w:rsidR="00EA2814" w:rsidRPr="00EA2814" w:rsidTr="0005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8D2470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EA2814" w:rsidRPr="00EA2814" w:rsidTr="0005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8D2470">
            <w:pPr>
              <w:rPr>
                <w:rFonts w:ascii="Arial" w:hAnsi="Arial" w:cs="Arial"/>
                <w:b w:val="0"/>
                <w:color w:val="auto"/>
              </w:rPr>
            </w:pPr>
            <w:r w:rsidRPr="00A15772">
              <w:rPr>
                <w:rFonts w:ascii="Arial" w:hAnsi="Arial" w:cs="Arial"/>
                <w:b w:val="0"/>
                <w:color w:val="auto"/>
                <w:sz w:val="20"/>
              </w:rPr>
              <w:t>The institution’s six-year undergraduate rate for each of the past ten years;</w:t>
            </w:r>
          </w:p>
        </w:tc>
      </w:tr>
      <w:tr w:rsidR="00EA2814" w:rsidRPr="00EA2814" w:rsidTr="0005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B78B9" w:rsidRPr="00A15772" w:rsidRDefault="00A15772" w:rsidP="00A15772">
            <w:pPr>
              <w:tabs>
                <w:tab w:val="left" w:pos="5109"/>
                <w:tab w:val="right" w:pos="11484"/>
              </w:tabs>
              <w:rPr>
                <w:rFonts w:ascii="Arial" w:eastAsia="Times New Roman" w:hAnsi="Arial" w:cs="Arial"/>
                <w:b w:val="0"/>
                <w:color w:val="auto"/>
                <w:sz w:val="20"/>
              </w:rPr>
            </w:pPr>
            <w:r w:rsidRPr="00A15772">
              <w:rPr>
                <w:sz w:val="20"/>
              </w:rPr>
              <w:tab/>
            </w:r>
            <w:r w:rsidRPr="00A15772">
              <w:rPr>
                <w:sz w:val="20"/>
              </w:rPr>
              <w:tab/>
            </w:r>
            <w:hyperlink r:id="rId5" w:history="1">
              <w:r w:rsidR="00EA2814" w:rsidRPr="00A15772">
                <w:rPr>
                  <w:rStyle w:val="Hyperlink"/>
                  <w:rFonts w:ascii="Arial" w:eastAsia="Times New Roman" w:hAnsi="Arial" w:cs="Arial"/>
                  <w:b w:val="0"/>
                  <w:color w:val="auto"/>
                  <w:sz w:val="20"/>
                </w:rPr>
                <w:t>http://www.jmu.edu/instresrch/statsum/2014_15/T2-25_2014.pdf</w:t>
              </w:r>
            </w:hyperlink>
          </w:p>
        </w:tc>
      </w:tr>
      <w:tr w:rsidR="00EA2814" w:rsidRPr="00EA2814" w:rsidTr="0005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8D2470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EA2814" w:rsidRPr="00EA2814" w:rsidTr="0005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8D2470">
            <w:pPr>
              <w:rPr>
                <w:rFonts w:ascii="Arial" w:hAnsi="Arial" w:cs="Arial"/>
                <w:b w:val="0"/>
                <w:color w:val="auto"/>
              </w:rPr>
            </w:pPr>
            <w:r w:rsidRPr="00A15772">
              <w:rPr>
                <w:rFonts w:ascii="Arial" w:hAnsi="Arial" w:cs="Arial"/>
                <w:b w:val="0"/>
                <w:color w:val="auto"/>
                <w:sz w:val="20"/>
              </w:rPr>
              <w:t>The institution’s freshman-to-sophomore retention rate for full-time undergraduate students for each of the past ten years;</w:t>
            </w:r>
          </w:p>
        </w:tc>
      </w:tr>
      <w:tr w:rsidR="00EA2814" w:rsidRPr="00EA2814" w:rsidTr="0005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CE7AB3" w:rsidP="008F7CE3">
            <w:pPr>
              <w:jc w:val="right"/>
              <w:rPr>
                <w:rFonts w:ascii="Arial" w:eastAsia="Times New Roman" w:hAnsi="Arial" w:cs="Arial"/>
                <w:b w:val="0"/>
                <w:color w:val="auto"/>
              </w:rPr>
            </w:pPr>
            <w:hyperlink r:id="rId6" w:history="1">
              <w:r w:rsidR="00EA2814" w:rsidRPr="00A15772">
                <w:rPr>
                  <w:rStyle w:val="Hyperlink"/>
                  <w:rFonts w:ascii="Arial" w:eastAsia="Times New Roman" w:hAnsi="Arial" w:cs="Arial"/>
                  <w:b w:val="0"/>
                  <w:color w:val="auto"/>
                  <w:sz w:val="20"/>
                </w:rPr>
                <w:t>http://www.jmu.edu/instresrch/statsum/2014_15/T2-26_2014.pdf</w:t>
              </w:r>
            </w:hyperlink>
          </w:p>
        </w:tc>
      </w:tr>
      <w:tr w:rsidR="00EA2814" w:rsidRPr="00EA2814" w:rsidTr="0005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8D2470">
            <w:pPr>
              <w:rPr>
                <w:rFonts w:ascii="Arial" w:eastAsia="Times New Roman" w:hAnsi="Arial" w:cs="Arial"/>
                <w:b w:val="0"/>
                <w:color w:val="auto"/>
              </w:rPr>
            </w:pPr>
          </w:p>
        </w:tc>
      </w:tr>
      <w:tr w:rsidR="00EA2814" w:rsidRPr="00EA2814" w:rsidTr="0005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8D2470">
            <w:pPr>
              <w:rPr>
                <w:rFonts w:ascii="Arial" w:eastAsia="Times New Roman" w:hAnsi="Arial" w:cs="Arial"/>
                <w:b w:val="0"/>
                <w:color w:val="auto"/>
              </w:rPr>
            </w:pPr>
            <w:r w:rsidRPr="00A15772">
              <w:rPr>
                <w:rFonts w:ascii="Arial" w:eastAsia="Times New Roman" w:hAnsi="Arial" w:cs="Arial"/>
                <w:b w:val="0"/>
                <w:color w:val="auto"/>
                <w:sz w:val="20"/>
              </w:rPr>
              <w:t>The institution’s average annual percentage increase in base undergraduate tuition for each of the past 10 years;</w:t>
            </w:r>
          </w:p>
        </w:tc>
      </w:tr>
      <w:tr w:rsidR="00EA2814" w:rsidRPr="00EA2814" w:rsidTr="0005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1865" w:rsidRPr="003B78B9" w:rsidRDefault="000566B9" w:rsidP="00A15772">
            <w:pPr>
              <w:jc w:val="center"/>
              <w:rPr>
                <w:rFonts w:ascii="Arial" w:eastAsia="Times New Roman" w:hAnsi="Arial" w:cs="Arial"/>
                <w:b w:val="0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FB515D7" wp14:editId="2F7BF8D8">
                  <wp:extent cx="6612660" cy="47548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519" cy="476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4E5" w:rsidRDefault="000504E5">
      <w:r>
        <w:rPr>
          <w:b/>
          <w:bCs/>
        </w:rPr>
        <w:br w:type="page"/>
      </w:r>
    </w:p>
    <w:tbl>
      <w:tblPr>
        <w:tblStyle w:val="ListTable5Dark-Accent4"/>
        <w:tblW w:w="11070" w:type="dxa"/>
        <w:tblInd w:w="-825" w:type="dxa"/>
        <w:tblLook w:val="04A0" w:firstRow="1" w:lastRow="0" w:firstColumn="1" w:lastColumn="0" w:noHBand="0" w:noVBand="1"/>
      </w:tblPr>
      <w:tblGrid>
        <w:gridCol w:w="11070"/>
      </w:tblGrid>
      <w:tr w:rsidR="00EA2814" w:rsidRPr="00EA2814" w:rsidTr="0005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A15772" w:rsidP="000566B9">
            <w:pPr>
              <w:rPr>
                <w:rFonts w:ascii="Arial" w:eastAsia="Times New Roman" w:hAnsi="Arial" w:cs="Arial"/>
                <w:b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lastRenderedPageBreak/>
              <w:br w:type="page"/>
            </w:r>
            <w:r w:rsidR="00EA2814" w:rsidRPr="00A15772">
              <w:rPr>
                <w:rFonts w:ascii="Arial" w:eastAsia="Times New Roman" w:hAnsi="Arial" w:cs="Arial"/>
                <w:b w:val="0"/>
                <w:color w:val="auto"/>
                <w:sz w:val="20"/>
              </w:rPr>
              <w:t>The institution’s average annual percentage increase in mandatory undergraduate comprehensive student fee for each of the past 10 years;</w:t>
            </w:r>
          </w:p>
        </w:tc>
      </w:tr>
      <w:tr w:rsidR="00EA2814" w:rsidRPr="00EA2814" w:rsidTr="0005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B78B9" w:rsidRDefault="00643BF0" w:rsidP="00A15772">
            <w:pPr>
              <w:jc w:val="center"/>
              <w:rPr>
                <w:rFonts w:ascii="Arial" w:eastAsia="Times New Roman" w:hAnsi="Arial" w:cs="Arial"/>
                <w:b w:val="0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17A9F83E" wp14:editId="530083D8">
                  <wp:extent cx="6737160" cy="4754880"/>
                  <wp:effectExtent l="0" t="0" r="698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910" cy="476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7AB3" w:rsidRDefault="00CE7AB3" w:rsidP="00A15772">
            <w:pPr>
              <w:jc w:val="center"/>
              <w:rPr>
                <w:rFonts w:ascii="Arial" w:eastAsia="Times New Roman" w:hAnsi="Arial" w:cs="Arial"/>
                <w:b w:val="0"/>
                <w:color w:val="auto"/>
              </w:rPr>
            </w:pPr>
          </w:p>
          <w:p w:rsidR="00CE7AB3" w:rsidRPr="003B78B9" w:rsidRDefault="00CE7AB3" w:rsidP="00A15772">
            <w:pPr>
              <w:jc w:val="center"/>
              <w:rPr>
                <w:rFonts w:ascii="Arial" w:eastAsia="Times New Roman" w:hAnsi="Arial" w:cs="Arial"/>
                <w:b w:val="0"/>
                <w:color w:val="auto"/>
              </w:rPr>
            </w:pPr>
            <w:bookmarkStart w:id="0" w:name="_GoBack"/>
            <w:bookmarkEnd w:id="0"/>
          </w:p>
        </w:tc>
      </w:tr>
      <w:tr w:rsidR="00EA2814" w:rsidRPr="00EA2814" w:rsidTr="0005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8D2470">
            <w:pPr>
              <w:rPr>
                <w:rFonts w:ascii="Arial" w:eastAsia="Times New Roman" w:hAnsi="Arial" w:cs="Arial"/>
                <w:b w:val="0"/>
                <w:color w:val="auto"/>
              </w:rPr>
            </w:pPr>
            <w:r w:rsidRPr="00A15772">
              <w:rPr>
                <w:rFonts w:ascii="Arial" w:eastAsia="Times New Roman" w:hAnsi="Arial" w:cs="Arial"/>
                <w:b w:val="0"/>
                <w:color w:val="auto"/>
                <w:sz w:val="20"/>
              </w:rPr>
              <w:t>A link to the annual report of the use of student fees as required by §23-2.3;</w:t>
            </w:r>
          </w:p>
        </w:tc>
      </w:tr>
      <w:tr w:rsidR="00EA2814" w:rsidRPr="00EA2814" w:rsidTr="0005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CE7AB3" w:rsidP="008F7CE3">
            <w:pPr>
              <w:jc w:val="right"/>
              <w:rPr>
                <w:rFonts w:ascii="Arial" w:eastAsia="Times New Roman" w:hAnsi="Arial" w:cs="Arial"/>
                <w:b w:val="0"/>
                <w:color w:val="auto"/>
              </w:rPr>
            </w:pPr>
            <w:hyperlink r:id="rId9" w:history="1">
              <w:r w:rsidR="00EA2814" w:rsidRPr="00A15772">
                <w:rPr>
                  <w:rStyle w:val="Hyperlink"/>
                  <w:rFonts w:ascii="Arial" w:eastAsia="Times New Roman" w:hAnsi="Arial" w:cs="Arial"/>
                  <w:b w:val="0"/>
                  <w:color w:val="auto"/>
                  <w:sz w:val="20"/>
                  <w:szCs w:val="20"/>
                </w:rPr>
                <w:t>http://www.jmu.edu/universityunions/budget/approvedbudgets.shtml</w:t>
              </w:r>
            </w:hyperlink>
          </w:p>
        </w:tc>
      </w:tr>
      <w:tr w:rsidR="00EA2814" w:rsidRPr="00EA2814" w:rsidTr="0005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8D2470">
            <w:pPr>
              <w:rPr>
                <w:rFonts w:ascii="Arial" w:eastAsia="Times New Roman" w:hAnsi="Arial" w:cs="Arial"/>
                <w:b w:val="0"/>
                <w:color w:val="auto"/>
              </w:rPr>
            </w:pPr>
          </w:p>
        </w:tc>
      </w:tr>
      <w:tr w:rsidR="00EA2814" w:rsidRPr="00EA2814" w:rsidTr="0005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8D2470">
            <w:pPr>
              <w:rPr>
                <w:rFonts w:ascii="Arial" w:eastAsia="Times New Roman" w:hAnsi="Arial" w:cs="Arial"/>
                <w:b w:val="0"/>
                <w:color w:val="auto"/>
              </w:rPr>
            </w:pPr>
            <w:r w:rsidRPr="00A15772">
              <w:rPr>
                <w:rFonts w:ascii="Arial" w:eastAsia="Times New Roman" w:hAnsi="Arial" w:cs="Arial"/>
                <w:b w:val="0"/>
                <w:color w:val="auto"/>
                <w:sz w:val="20"/>
              </w:rPr>
              <w:t>A link to the postsecondary education and employment data referenced in §23-2.4; and</w:t>
            </w:r>
          </w:p>
        </w:tc>
      </w:tr>
      <w:tr w:rsidR="00EA2814" w:rsidRPr="00EA2814" w:rsidTr="0005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2DF8" w:rsidRPr="003B78B9" w:rsidRDefault="00CE7AB3" w:rsidP="008F7CE3">
            <w:pPr>
              <w:jc w:val="right"/>
              <w:rPr>
                <w:rFonts w:ascii="Arial" w:eastAsia="Times New Roman" w:hAnsi="Arial" w:cs="Arial"/>
                <w:b w:val="0"/>
                <w:color w:val="auto"/>
              </w:rPr>
            </w:pPr>
            <w:hyperlink r:id="rId10" w:history="1">
              <w:r w:rsidR="00BB2DF8" w:rsidRPr="00A15772">
                <w:rPr>
                  <w:rStyle w:val="Hyperlink"/>
                  <w:rFonts w:ascii="Arial" w:eastAsia="Times New Roman" w:hAnsi="Arial" w:cs="Arial"/>
                  <w:b w:val="0"/>
                  <w:color w:val="auto"/>
                  <w:sz w:val="20"/>
                </w:rPr>
                <w:t>http://research.schev.edu/iprofile.asp?UID=232423</w:t>
              </w:r>
            </w:hyperlink>
          </w:p>
        </w:tc>
      </w:tr>
      <w:tr w:rsidR="00EA2814" w:rsidRPr="00EA2814" w:rsidTr="0005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8D2470">
            <w:pPr>
              <w:rPr>
                <w:rFonts w:ascii="Arial" w:eastAsia="Times New Roman" w:hAnsi="Arial" w:cs="Arial"/>
                <w:b w:val="0"/>
                <w:color w:val="auto"/>
              </w:rPr>
            </w:pPr>
          </w:p>
        </w:tc>
      </w:tr>
      <w:tr w:rsidR="00EA2814" w:rsidRPr="00EA2814" w:rsidTr="0005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EA2814" w:rsidP="00BB2DF8">
            <w:pPr>
              <w:rPr>
                <w:rFonts w:ascii="Arial" w:eastAsia="Times New Roman" w:hAnsi="Arial" w:cs="Arial"/>
                <w:b w:val="0"/>
                <w:color w:val="auto"/>
              </w:rPr>
            </w:pPr>
            <w:r w:rsidRPr="00A15772">
              <w:rPr>
                <w:rFonts w:ascii="Arial" w:eastAsia="Times New Roman" w:hAnsi="Arial" w:cs="Arial"/>
                <w:b w:val="0"/>
                <w:color w:val="auto"/>
                <w:sz w:val="20"/>
              </w:rPr>
              <w:t>A summary of the institution’s budget, consistent with the institution’s annual budgeting process, that includes (</w:t>
            </w:r>
            <w:r w:rsidR="00BB2DF8" w:rsidRPr="00A15772">
              <w:rPr>
                <w:rFonts w:ascii="Arial" w:eastAsia="Times New Roman" w:hAnsi="Arial" w:cs="Arial"/>
                <w:b w:val="0"/>
                <w:color w:val="auto"/>
                <w:sz w:val="20"/>
              </w:rPr>
              <w:t>i</w:t>
            </w:r>
            <w:r w:rsidRPr="00A15772">
              <w:rPr>
                <w:rFonts w:ascii="Arial" w:eastAsia="Times New Roman" w:hAnsi="Arial" w:cs="Arial"/>
                <w:b w:val="0"/>
                <w:color w:val="auto"/>
                <w:sz w:val="20"/>
              </w:rPr>
              <w:t>) the major budget units (MBUs) in the institution and standard expenditure categories within each MBU for the current fiscal year and the previous fiscal years or (</w:t>
            </w:r>
            <w:r w:rsidR="00BB2DF8" w:rsidRPr="00A15772">
              <w:rPr>
                <w:rFonts w:ascii="Arial" w:eastAsia="Times New Roman" w:hAnsi="Arial" w:cs="Arial"/>
                <w:b w:val="0"/>
                <w:color w:val="auto"/>
                <w:sz w:val="20"/>
              </w:rPr>
              <w:t>ii</w:t>
            </w:r>
            <w:r w:rsidRPr="00A15772">
              <w:rPr>
                <w:rFonts w:ascii="Arial" w:eastAsia="Times New Roman" w:hAnsi="Arial" w:cs="Arial"/>
                <w:b w:val="0"/>
                <w:color w:val="auto"/>
                <w:sz w:val="20"/>
              </w:rPr>
              <w:t>) a link to the annual reports required by §23-1.01</w:t>
            </w:r>
            <w:r w:rsidRPr="003B78B9">
              <w:rPr>
                <w:rFonts w:ascii="Arial" w:eastAsia="Times New Roman" w:hAnsi="Arial" w:cs="Arial"/>
                <w:b w:val="0"/>
                <w:color w:val="auto"/>
              </w:rPr>
              <w:t>.</w:t>
            </w:r>
          </w:p>
        </w:tc>
      </w:tr>
      <w:tr w:rsidR="00EA2814" w:rsidRPr="00347BDC" w:rsidTr="0005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2814" w:rsidRPr="003B78B9" w:rsidRDefault="00CE7AB3" w:rsidP="008F7CE3">
            <w:pPr>
              <w:jc w:val="right"/>
              <w:rPr>
                <w:rFonts w:ascii="Arial" w:eastAsia="Times New Roman" w:hAnsi="Arial" w:cs="Arial"/>
                <w:b w:val="0"/>
                <w:color w:val="auto"/>
              </w:rPr>
            </w:pPr>
            <w:hyperlink r:id="rId11" w:history="1">
              <w:r w:rsidR="00EA2814" w:rsidRPr="00A15772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</w:rPr>
                <w:t>http://www.jmu.edu/financeoffice/accounting-reporting/financial-reporting/annual-financial-statements.shtm</w:t>
              </w:r>
            </w:hyperlink>
          </w:p>
        </w:tc>
      </w:tr>
      <w:tr w:rsidR="000504E5" w:rsidRPr="00347BDC" w:rsidTr="0005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504E5" w:rsidRDefault="000504E5" w:rsidP="008F7CE3">
            <w:pPr>
              <w:jc w:val="right"/>
            </w:pPr>
          </w:p>
        </w:tc>
      </w:tr>
    </w:tbl>
    <w:p w:rsidR="00EA2814" w:rsidRPr="00347BDC" w:rsidRDefault="00EA2814" w:rsidP="003B78B9">
      <w:pPr>
        <w:rPr>
          <w:rFonts w:ascii="Arial" w:eastAsia="Times New Roman" w:hAnsi="Arial" w:cs="Arial"/>
        </w:rPr>
      </w:pPr>
    </w:p>
    <w:sectPr w:rsidR="00EA2814" w:rsidRPr="00347BDC" w:rsidSect="00A15772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54EB3"/>
    <w:multiLevelType w:val="hybridMultilevel"/>
    <w:tmpl w:val="647E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6"/>
    <w:rsid w:val="000504E5"/>
    <w:rsid w:val="000566B9"/>
    <w:rsid w:val="00347BDC"/>
    <w:rsid w:val="003B78B9"/>
    <w:rsid w:val="00643BF0"/>
    <w:rsid w:val="00684E29"/>
    <w:rsid w:val="006D35D8"/>
    <w:rsid w:val="007F4B88"/>
    <w:rsid w:val="008F7CE3"/>
    <w:rsid w:val="009344EE"/>
    <w:rsid w:val="00A15772"/>
    <w:rsid w:val="00B446E4"/>
    <w:rsid w:val="00B51865"/>
    <w:rsid w:val="00B77916"/>
    <w:rsid w:val="00BB2DF8"/>
    <w:rsid w:val="00CA4762"/>
    <w:rsid w:val="00CE7AB3"/>
    <w:rsid w:val="00D30F20"/>
    <w:rsid w:val="00EA2814"/>
    <w:rsid w:val="00F64389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BFFF5-7B35-4A43-8CB9-A51E3CC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5D8"/>
    <w:rPr>
      <w:color w:val="0563C1"/>
      <w:u w:val="single"/>
    </w:rPr>
  </w:style>
  <w:style w:type="table" w:styleId="TableGrid">
    <w:name w:val="Table Grid"/>
    <w:basedOn w:val="TableNormal"/>
    <w:uiPriority w:val="59"/>
    <w:rsid w:val="00EA2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5Dark-Accent4">
    <w:name w:val="List Table 5 Dark Accent 4"/>
    <w:basedOn w:val="TableNormal"/>
    <w:uiPriority w:val="50"/>
    <w:rsid w:val="007F4B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B7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u.edu/instresrch/statsum/2014_15/T2-26_2014.pdf" TargetMode="External"/><Relationship Id="rId11" Type="http://schemas.openxmlformats.org/officeDocument/2006/relationships/hyperlink" Target="http://www.jmu.edu/financeoffice/accounting-reporting/financial-reporting/annual-financial-statements.shtml" TargetMode="External"/><Relationship Id="rId5" Type="http://schemas.openxmlformats.org/officeDocument/2006/relationships/hyperlink" Target="http://www.jmu.edu/instresrch/statsum/2014_15/T2-25_2014.pdf" TargetMode="External"/><Relationship Id="rId10" Type="http://schemas.openxmlformats.org/officeDocument/2006/relationships/hyperlink" Target="http://research.schev.edu/iprofile.asp?UID=232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mu.edu/universityunions/budget/approvedbudget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Shifflett</dc:creator>
  <cp:keywords/>
  <dc:description/>
  <cp:lastModifiedBy>Barbie Shifflett</cp:lastModifiedBy>
  <cp:revision>9</cp:revision>
  <dcterms:created xsi:type="dcterms:W3CDTF">2015-09-10T17:06:00Z</dcterms:created>
  <dcterms:modified xsi:type="dcterms:W3CDTF">2015-09-21T18:08:00Z</dcterms:modified>
</cp:coreProperties>
</file>